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重庆市建筑工程质量检验测试中心有限公司</w:t>
      </w:r>
      <w:r>
        <w:rPr>
          <w:rFonts w:hint="eastAsia"/>
        </w:rPr>
        <w:t>公开征集检校机构入企业选择库综合评估</w:t>
      </w:r>
      <w:r>
        <w:rPr>
          <w:rFonts w:hint="eastAsia"/>
          <w:lang w:val="en-US" w:eastAsia="zh-CN"/>
        </w:rPr>
        <w:t>办法</w:t>
      </w:r>
    </w:p>
    <w:p>
      <w:pPr>
        <w:spacing w:line="360" w:lineRule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评估维度</w:t>
      </w:r>
      <w:r>
        <w:rPr>
          <w:rFonts w:hint="eastAsia"/>
          <w:sz w:val="24"/>
          <w:highlight w:val="none"/>
        </w:rPr>
        <w:tab/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highlight w:val="none"/>
        </w:rPr>
        <w:t>具体指标</w:t>
      </w:r>
      <w:r>
        <w:rPr>
          <w:rFonts w:hint="eastAsia"/>
          <w:sz w:val="24"/>
          <w:highlight w:val="none"/>
        </w:rPr>
        <w:tab/>
      </w:r>
      <w:r>
        <w:rPr>
          <w:rFonts w:hint="eastAsia"/>
          <w:sz w:val="24"/>
          <w:highlight w:val="none"/>
          <w:lang w:val="en-US" w:eastAsia="zh-CN"/>
        </w:rPr>
        <w:t xml:space="preserve">                              </w:t>
      </w:r>
      <w:r>
        <w:rPr>
          <w:rFonts w:hint="eastAsia"/>
          <w:sz w:val="24"/>
          <w:highlight w:val="none"/>
        </w:rPr>
        <w:t>权重</w:t>
      </w:r>
    </w:p>
    <w:p>
      <w:pPr>
        <w:spacing w:line="360" w:lineRule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技术能力</w:t>
      </w:r>
      <w:r>
        <w:rPr>
          <w:rFonts w:hint="eastAsia"/>
          <w:sz w:val="24"/>
          <w:highlight w:val="none"/>
        </w:rPr>
        <w:tab/>
      </w:r>
    </w:p>
    <w:p>
      <w:pPr>
        <w:numPr>
          <w:ilvl w:val="0"/>
          <w:numId w:val="1"/>
        </w:numPr>
        <w:spacing w:line="360" w:lineRule="auto"/>
        <w:ind w:firstLine="1440" w:firstLineChars="6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CNAS认可范围覆盖度</w:t>
      </w:r>
      <w:r>
        <w:rPr>
          <w:rFonts w:hint="eastAsia"/>
          <w:sz w:val="24"/>
          <w:highlight w:val="none"/>
        </w:rPr>
        <w:tab/>
      </w:r>
      <w:r>
        <w:rPr>
          <w:rFonts w:hint="eastAsia"/>
          <w:sz w:val="24"/>
          <w:highlight w:val="none"/>
          <w:lang w:val="en-US" w:eastAsia="zh-CN"/>
        </w:rPr>
        <w:t xml:space="preserve">                  14</w:t>
      </w:r>
      <w:r>
        <w:rPr>
          <w:rFonts w:hint="eastAsia"/>
          <w:sz w:val="24"/>
          <w:highlight w:val="none"/>
        </w:rPr>
        <w:t>%</w:t>
      </w:r>
    </w:p>
    <w:p>
      <w:pPr>
        <w:numPr>
          <w:ilvl w:val="0"/>
          <w:numId w:val="0"/>
        </w:numPr>
        <w:spacing w:line="360" w:lineRule="auto"/>
        <w:ind w:firstLine="1440" w:firstLineChars="6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2. 技术人员资质与经验</w:t>
      </w:r>
      <w:r>
        <w:rPr>
          <w:rFonts w:hint="eastAsia"/>
          <w:sz w:val="24"/>
          <w:highlight w:val="none"/>
        </w:rPr>
        <w:tab/>
      </w:r>
      <w:r>
        <w:rPr>
          <w:rFonts w:hint="eastAsia"/>
          <w:sz w:val="24"/>
          <w:highlight w:val="none"/>
          <w:lang w:val="en-US" w:eastAsia="zh-CN"/>
        </w:rPr>
        <w:t xml:space="preserve">                  10</w:t>
      </w:r>
      <w:r>
        <w:rPr>
          <w:rFonts w:hint="eastAsia"/>
          <w:sz w:val="24"/>
          <w:highlight w:val="none"/>
        </w:rPr>
        <w:t>%</w:t>
      </w:r>
    </w:p>
    <w:p>
      <w:pPr>
        <w:spacing w:line="360" w:lineRule="auto"/>
        <w:ind w:firstLine="1440" w:firstLineChars="6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3. 设备先进性与完备性</w:t>
      </w:r>
      <w:r>
        <w:rPr>
          <w:rFonts w:hint="eastAsia"/>
          <w:sz w:val="24"/>
          <w:highlight w:val="none"/>
        </w:rPr>
        <w:tab/>
      </w:r>
      <w:r>
        <w:rPr>
          <w:rFonts w:hint="eastAsia"/>
          <w:sz w:val="24"/>
          <w:highlight w:val="none"/>
          <w:lang w:val="en-US" w:eastAsia="zh-CN"/>
        </w:rPr>
        <w:t xml:space="preserve">                  </w:t>
      </w:r>
      <w:r>
        <w:rPr>
          <w:rFonts w:hint="eastAsia"/>
          <w:sz w:val="24"/>
          <w:highlight w:val="none"/>
        </w:rPr>
        <w:t>10%</w:t>
      </w:r>
    </w:p>
    <w:p>
      <w:pPr>
        <w:spacing w:line="360" w:lineRule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质量保证</w:t>
      </w:r>
      <w:r>
        <w:rPr>
          <w:rFonts w:hint="eastAsia"/>
          <w:sz w:val="24"/>
          <w:highlight w:val="none"/>
        </w:rPr>
        <w:tab/>
      </w:r>
    </w:p>
    <w:p>
      <w:pPr>
        <w:spacing w:line="360" w:lineRule="auto"/>
        <w:ind w:firstLine="1440" w:firstLineChars="6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4. 质量管理体系完善度</w:t>
      </w:r>
      <w:r>
        <w:rPr>
          <w:rFonts w:hint="eastAsia"/>
          <w:sz w:val="24"/>
          <w:highlight w:val="none"/>
        </w:rPr>
        <w:tab/>
      </w:r>
      <w:r>
        <w:rPr>
          <w:rFonts w:hint="eastAsia"/>
          <w:sz w:val="24"/>
          <w:highlight w:val="none"/>
          <w:lang w:val="en-US" w:eastAsia="zh-CN"/>
        </w:rPr>
        <w:t xml:space="preserve">                  </w:t>
      </w:r>
      <w:r>
        <w:rPr>
          <w:rFonts w:hint="eastAsia"/>
          <w:sz w:val="24"/>
          <w:highlight w:val="none"/>
        </w:rPr>
        <w:t>1</w:t>
      </w:r>
      <w:r>
        <w:rPr>
          <w:rFonts w:hint="eastAsia"/>
          <w:sz w:val="24"/>
          <w:highlight w:val="none"/>
          <w:lang w:val="en-US" w:eastAsia="zh-CN"/>
        </w:rPr>
        <w:t>0</w:t>
      </w:r>
      <w:r>
        <w:rPr>
          <w:rFonts w:hint="eastAsia"/>
          <w:sz w:val="24"/>
          <w:highlight w:val="none"/>
        </w:rPr>
        <w:t>%</w:t>
      </w:r>
    </w:p>
    <w:p>
      <w:pPr>
        <w:spacing w:line="360" w:lineRule="auto"/>
        <w:ind w:firstLine="1440" w:firstLineChars="6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5. 校准证书规范性</w:t>
      </w:r>
      <w:r>
        <w:rPr>
          <w:rFonts w:hint="eastAsia"/>
          <w:sz w:val="24"/>
          <w:highlight w:val="none"/>
          <w:lang w:eastAsia="zh-CN"/>
        </w:rPr>
        <w:t>、</w:t>
      </w:r>
      <w:r>
        <w:rPr>
          <w:rFonts w:hint="eastAsia"/>
          <w:sz w:val="24"/>
          <w:highlight w:val="none"/>
          <w:lang w:val="en-US" w:eastAsia="zh-CN"/>
        </w:rPr>
        <w:t>正确性</w:t>
      </w:r>
      <w:r>
        <w:rPr>
          <w:rFonts w:hint="eastAsia"/>
          <w:sz w:val="24"/>
          <w:highlight w:val="none"/>
        </w:rPr>
        <w:tab/>
      </w:r>
      <w:r>
        <w:rPr>
          <w:rFonts w:hint="eastAsia"/>
          <w:sz w:val="24"/>
          <w:highlight w:val="none"/>
          <w:lang w:val="en-US" w:eastAsia="zh-CN"/>
        </w:rPr>
        <w:t xml:space="preserve">               </w:t>
      </w:r>
      <w:r>
        <w:rPr>
          <w:rFonts w:hint="eastAsia"/>
          <w:sz w:val="24"/>
          <w:highlight w:val="none"/>
        </w:rPr>
        <w:t>10%</w:t>
      </w:r>
    </w:p>
    <w:p>
      <w:pPr>
        <w:spacing w:line="360" w:lineRule="auto"/>
        <w:rPr>
          <w:rFonts w:hint="eastAsia" w:eastAsiaTheme="minorEastAsia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服务能力</w:t>
      </w:r>
      <w:r>
        <w:rPr>
          <w:rFonts w:hint="eastAsia"/>
          <w:sz w:val="24"/>
          <w:highlight w:val="none"/>
        </w:rPr>
        <w:tab/>
      </w:r>
      <w:r>
        <w:rPr>
          <w:rFonts w:hint="eastAsia"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1440" w:firstLineChars="6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6. 交付周期（是否满足</w:t>
      </w:r>
      <w:r>
        <w:rPr>
          <w:rFonts w:hint="eastAsia"/>
          <w:sz w:val="24"/>
          <w:highlight w:val="none"/>
          <w:lang w:eastAsia="zh-CN"/>
        </w:rPr>
        <w:t>我</w:t>
      </w:r>
      <w:r>
        <w:rPr>
          <w:rFonts w:hint="eastAsia"/>
          <w:sz w:val="24"/>
          <w:highlight w:val="none"/>
        </w:rPr>
        <w:t>公司需求）</w:t>
      </w:r>
      <w:r>
        <w:rPr>
          <w:rFonts w:hint="eastAsia"/>
          <w:sz w:val="24"/>
          <w:highlight w:val="none"/>
        </w:rPr>
        <w:tab/>
      </w:r>
      <w:r>
        <w:rPr>
          <w:rFonts w:hint="eastAsia"/>
          <w:sz w:val="24"/>
          <w:highlight w:val="none"/>
          <w:lang w:val="en-US" w:eastAsia="zh-CN"/>
        </w:rPr>
        <w:t xml:space="preserve">       </w:t>
      </w:r>
      <w:r>
        <w:rPr>
          <w:rFonts w:hint="eastAsia"/>
          <w:sz w:val="24"/>
          <w:highlight w:val="none"/>
        </w:rPr>
        <w:t>10%</w:t>
      </w:r>
    </w:p>
    <w:p>
      <w:pPr>
        <w:spacing w:line="360" w:lineRule="auto"/>
        <w:ind w:firstLine="1440" w:firstLineChars="6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7. 售后服务与响应速度</w:t>
      </w:r>
      <w:r>
        <w:rPr>
          <w:rFonts w:hint="eastAsia"/>
          <w:sz w:val="24"/>
          <w:highlight w:val="none"/>
        </w:rPr>
        <w:tab/>
      </w:r>
      <w:r>
        <w:rPr>
          <w:rFonts w:hint="eastAsia"/>
          <w:sz w:val="24"/>
          <w:highlight w:val="none"/>
          <w:lang w:val="en-US" w:eastAsia="zh-CN"/>
        </w:rPr>
        <w:t xml:space="preserve">                  </w:t>
      </w:r>
      <w:r>
        <w:rPr>
          <w:rFonts w:hint="eastAsia"/>
          <w:sz w:val="24"/>
          <w:highlight w:val="none"/>
        </w:rPr>
        <w:t>10%</w:t>
      </w:r>
    </w:p>
    <w:p>
      <w:pPr>
        <w:spacing w:line="360" w:lineRule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价格合理性</w:t>
      </w:r>
      <w:r>
        <w:rPr>
          <w:rFonts w:hint="eastAsia"/>
          <w:sz w:val="24"/>
          <w:highlight w:val="none"/>
        </w:rPr>
        <w:tab/>
      </w:r>
    </w:p>
    <w:p>
      <w:pPr>
        <w:spacing w:line="360" w:lineRule="auto"/>
        <w:ind w:firstLine="1440" w:firstLineChars="6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8. 报价竞争力</w:t>
      </w:r>
      <w:r>
        <w:rPr>
          <w:rFonts w:hint="eastAsia"/>
          <w:sz w:val="24"/>
          <w:highlight w:val="none"/>
        </w:rPr>
        <w:tab/>
      </w:r>
      <w:r>
        <w:rPr>
          <w:rFonts w:hint="eastAsia"/>
          <w:sz w:val="24"/>
          <w:highlight w:val="none"/>
          <w:lang w:val="en-US" w:eastAsia="zh-CN"/>
        </w:rPr>
        <w:t xml:space="preserve">                          </w:t>
      </w:r>
      <w:r>
        <w:rPr>
          <w:rFonts w:hint="eastAsia"/>
          <w:sz w:val="24"/>
          <w:highlight w:val="none"/>
        </w:rPr>
        <w:t>10%</w:t>
      </w:r>
    </w:p>
    <w:p>
      <w:pPr>
        <w:spacing w:line="360" w:lineRule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附加项</w:t>
      </w:r>
      <w:r>
        <w:rPr>
          <w:rFonts w:hint="eastAsia"/>
          <w:sz w:val="24"/>
          <w:highlight w:val="none"/>
        </w:rPr>
        <w:tab/>
      </w:r>
    </w:p>
    <w:p>
      <w:pPr>
        <w:spacing w:line="360" w:lineRule="auto"/>
        <w:ind w:firstLine="1440" w:firstLineChars="6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9. 地理位置与运输便利性</w:t>
      </w:r>
      <w:r>
        <w:rPr>
          <w:rFonts w:hint="eastAsia"/>
          <w:sz w:val="24"/>
          <w:highlight w:val="none"/>
        </w:rPr>
        <w:tab/>
      </w:r>
      <w:r>
        <w:rPr>
          <w:rFonts w:hint="eastAsia"/>
          <w:sz w:val="24"/>
          <w:highlight w:val="none"/>
          <w:lang w:val="en-US" w:eastAsia="zh-CN"/>
        </w:rPr>
        <w:t xml:space="preserve">                  4</w:t>
      </w:r>
      <w:r>
        <w:rPr>
          <w:rFonts w:hint="eastAsia"/>
          <w:sz w:val="24"/>
          <w:highlight w:val="none"/>
        </w:rPr>
        <w:t>%</w:t>
      </w:r>
    </w:p>
    <w:p>
      <w:pPr>
        <w:spacing w:line="360" w:lineRule="auto"/>
        <w:ind w:firstLine="1440" w:firstLineChars="6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10. 行业声誉与客户评价</w:t>
      </w:r>
      <w:r>
        <w:rPr>
          <w:rFonts w:hint="eastAsia"/>
          <w:sz w:val="24"/>
          <w:highlight w:val="none"/>
        </w:rPr>
        <w:tab/>
      </w:r>
      <w:r>
        <w:rPr>
          <w:rFonts w:hint="eastAsia"/>
          <w:sz w:val="24"/>
          <w:highlight w:val="none"/>
          <w:lang w:val="en-US" w:eastAsia="zh-CN"/>
        </w:rPr>
        <w:t xml:space="preserve">                  4</w:t>
      </w:r>
      <w:r>
        <w:rPr>
          <w:rFonts w:hint="eastAsia"/>
          <w:sz w:val="24"/>
          <w:highlight w:val="none"/>
        </w:rPr>
        <w:t>%</w:t>
      </w:r>
    </w:p>
    <w:p>
      <w:pPr>
        <w:spacing w:line="360" w:lineRule="auto"/>
        <w:ind w:firstLine="1440" w:firstLineChars="600"/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>11. 具有一定计量领域专家或者标准规范起草人，学科带头人    4%</w:t>
      </w:r>
    </w:p>
    <w:p>
      <w:pPr>
        <w:spacing w:line="360" w:lineRule="auto"/>
        <w:ind w:firstLine="1440" w:firstLineChars="600"/>
        <w:rPr>
          <w:rFonts w:hint="default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>12. 具有一定建筑校准技术能力，参与涉及建筑类国家、行业或地方标准规范的编制或修订  4%</w:t>
      </w:r>
    </w:p>
    <w:p>
      <w:pPr>
        <w:spacing w:line="360" w:lineRule="auto"/>
        <w:ind w:firstLine="0" w:firstLineChars="0"/>
        <w:rPr>
          <w:rFonts w:hint="default"/>
          <w:sz w:val="24"/>
          <w:highlight w:val="none"/>
          <w:lang w:val="en-US" w:eastAsia="zh-CN"/>
        </w:rPr>
      </w:pPr>
    </w:p>
    <w:p>
      <w:pPr>
        <w:spacing w:line="360" w:lineRule="auto"/>
        <w:ind w:firstLine="1440" w:firstLineChars="600"/>
        <w:rPr>
          <w:rFonts w:hint="eastAsia"/>
          <w:sz w:val="24"/>
          <w:highlight w:val="none"/>
        </w:rPr>
      </w:pPr>
    </w:p>
    <w:p>
      <w:pPr>
        <w:spacing w:line="360" w:lineRule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评分标准</w:t>
      </w:r>
    </w:p>
    <w:p>
      <w:pPr>
        <w:spacing w:line="360" w:lineRule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每项指标按0-10分进行评分，10分为最高分。</w:t>
      </w:r>
    </w:p>
    <w:p>
      <w:pPr>
        <w:spacing w:line="360" w:lineRule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综合评分计算</w:t>
      </w:r>
    </w:p>
    <w:p>
      <w:pPr>
        <w:spacing w:line="360" w:lineRule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综合评分按以下公式计算：</w:t>
      </w:r>
    </w:p>
    <w:p>
      <w:pPr>
        <w:spacing w:line="360" w:lineRule="auto"/>
        <w:rPr>
          <w:rFonts w:hint="eastAsia"/>
          <w:sz w:val="24"/>
          <w:highlight w:val="none"/>
        </w:rPr>
      </w:pPr>
    </w:p>
    <w:p>
      <w:pPr>
        <w:spacing w:line="360" w:lineRule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综合评分=∑(单项评分×权重)</w:t>
      </w:r>
    </w:p>
    <w:p>
      <w:pPr>
        <w:spacing w:line="360" w:lineRule="auto"/>
        <w:rPr>
          <w:rFonts w:hint="eastAsia"/>
          <w:sz w:val="24"/>
          <w:highlight w:val="none"/>
        </w:rPr>
      </w:pPr>
    </w:p>
    <w:p>
      <w:pPr>
        <w:spacing w:line="360" w:lineRule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评估结果应用</w:t>
      </w:r>
    </w:p>
    <w:p>
      <w:pPr>
        <w:spacing w:line="360" w:lineRule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综合评分</w:t>
      </w:r>
      <w:r>
        <w:rPr>
          <w:rFonts w:hint="eastAsia"/>
          <w:sz w:val="24"/>
          <w:highlight w:val="none"/>
          <w:lang w:val="en-US" w:eastAsia="zh-CN"/>
        </w:rPr>
        <w:t>＞</w:t>
      </w:r>
      <w:r>
        <w:rPr>
          <w:rFonts w:hint="eastAsia"/>
          <w:sz w:val="24"/>
          <w:highlight w:val="none"/>
        </w:rPr>
        <w:t>8分：优先选择，表明机构在技术能力、质量保证、服务能力及价格等方面均表现优秀。</w:t>
      </w:r>
    </w:p>
    <w:p>
      <w:pPr>
        <w:spacing w:line="360" w:lineRule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综合评分6-8分：可作为备选机构，需进一步考察或谈判。</w:t>
      </w:r>
    </w:p>
    <w:p>
      <w:pPr>
        <w:spacing w:line="360" w:lineRule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综合评分&lt;6分：不予考虑，表明机构存在明显不足。</w:t>
      </w:r>
    </w:p>
    <w:p>
      <w:pPr>
        <w:spacing w:line="360" w:lineRule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对纳入选择库的校准机构，签订合作协议，明确双方的权利和义务。</w:t>
      </w:r>
    </w:p>
    <w:p>
      <w:pPr>
        <w:spacing w:line="360" w:lineRule="auto"/>
        <w:rPr>
          <w:rFonts w:hint="eastAsia"/>
          <w:color w:val="auto"/>
          <w:sz w:val="24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7F36EB"/>
    <w:multiLevelType w:val="singleLevel"/>
    <w:tmpl w:val="7C7F36E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OWI1MTVhYmQ3OWNiMWFhMmYxOGJhODIzZGUzNDQifQ=="/>
  </w:docVars>
  <w:rsids>
    <w:rsidRoot w:val="2A0339D7"/>
    <w:rsid w:val="16F455B8"/>
    <w:rsid w:val="2A03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2025-03-24T09:54:00Z</dcterms:created>
  <dc:creator>珞</dc:creator>
  <cp:lastModifiedBy>珞</cp:lastModifiedBy>
  <dcterms:modified xsi:type="dcterms:W3CDTF">2025-03-24T09:56:33Z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E443590AE90C43D2A93F78328EECF09C_11</vt:lpwstr>
  </property>
</Properties>
</file>