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eastAsia" w:ascii="黑体" w:hAnsi="黑体" w:eastAsia="黑体" w:cs="黑体"/>
          <w:b/>
          <w:bCs/>
          <w:color w:val="auto"/>
          <w:sz w:val="36"/>
          <w:szCs w:val="36"/>
          <w:lang w:val="en-US" w:eastAsia="zh-CN"/>
        </w:rPr>
      </w:pPr>
      <w:bookmarkStart w:id="0" w:name="_Toc9833"/>
      <w:bookmarkStart w:id="1" w:name="_Toc28702"/>
      <w:bookmarkStart w:id="2" w:name="_Toc12332"/>
      <w:bookmarkStart w:id="3" w:name="_Toc532"/>
      <w:bookmarkStart w:id="4" w:name="_Toc1174"/>
      <w:r>
        <w:rPr>
          <w:rFonts w:hint="eastAsia" w:ascii="黑体" w:hAnsi="黑体" w:eastAsia="黑体" w:cs="黑体"/>
          <w:b/>
          <w:bCs/>
          <w:color w:val="auto"/>
          <w:sz w:val="36"/>
          <w:szCs w:val="36"/>
          <w:lang w:val="en-US" w:eastAsia="zh-CN"/>
        </w:rPr>
        <w:t>重庆市建筑科学研究院有限公司</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eastAsia" w:ascii="黑体" w:hAnsi="黑体" w:eastAsia="黑体" w:cs="黑体"/>
          <w:b/>
          <w:bCs/>
          <w:color w:val="auto"/>
          <w:sz w:val="36"/>
          <w:szCs w:val="36"/>
          <w:lang w:val="en-US" w:eastAsia="zh-CN"/>
        </w:rPr>
      </w:pPr>
      <w:bookmarkStart w:id="5" w:name="_Toc7670"/>
      <w:bookmarkStart w:id="6" w:name="_Toc21652"/>
      <w:bookmarkStart w:id="7" w:name="_Toc27886"/>
      <w:bookmarkStart w:id="8" w:name="_Toc19783"/>
      <w:bookmarkStart w:id="9" w:name="_Toc9041"/>
      <w:r>
        <w:rPr>
          <w:rFonts w:hint="eastAsia" w:ascii="黑体" w:hAnsi="黑体" w:eastAsia="黑体" w:cs="黑体"/>
          <w:b/>
          <w:bCs/>
          <w:color w:val="auto"/>
          <w:sz w:val="36"/>
          <w:szCs w:val="36"/>
          <w:lang w:val="en-US" w:eastAsia="zh-CN"/>
        </w:rPr>
        <w:t>江南分中心实验室搬迁项目(实验区)劳务分包</w:t>
      </w: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eastAsia" w:ascii="黑体" w:hAnsi="黑体" w:eastAsia="黑体" w:cs="黑体"/>
          <w:b/>
          <w:bCs/>
          <w:color w:val="auto"/>
          <w:sz w:val="36"/>
          <w:szCs w:val="36"/>
          <w:u w:val="none"/>
          <w:lang w:val="en-US" w:eastAsia="zh-CN"/>
        </w:rPr>
      </w:pPr>
      <w:r>
        <w:rPr>
          <w:rFonts w:hint="eastAsia" w:ascii="黑体" w:hAnsi="黑体" w:eastAsia="黑体" w:cs="黑体"/>
          <w:b/>
          <w:bCs/>
          <w:color w:val="auto"/>
          <w:sz w:val="36"/>
          <w:szCs w:val="36"/>
          <w:lang w:val="en-US" w:eastAsia="zh-CN"/>
        </w:rPr>
        <w:t>（</w:t>
      </w:r>
      <w:r>
        <w:rPr>
          <w:rFonts w:hint="eastAsia" w:ascii="黑体" w:hAnsi="黑体" w:eastAsia="黑体" w:cs="黑体"/>
          <w:b/>
          <w:bCs/>
          <w:color w:val="auto"/>
          <w:sz w:val="36"/>
          <w:szCs w:val="36"/>
          <w:u w:val="none"/>
          <w:lang w:val="en-US" w:eastAsia="zh-CN"/>
        </w:rPr>
        <w:t>装饰工程及水电智能化工程</w:t>
      </w:r>
      <w:r>
        <w:rPr>
          <w:rFonts w:hint="eastAsia" w:ascii="黑体" w:hAnsi="黑体" w:eastAsia="黑体" w:cs="黑体"/>
          <w:b/>
          <w:bCs/>
          <w:color w:val="auto"/>
          <w:sz w:val="36"/>
          <w:szCs w:val="36"/>
          <w:lang w:val="en-US" w:eastAsia="zh-CN"/>
        </w:rPr>
        <w:t>）</w:t>
      </w:r>
      <w:bookmarkEnd w:id="5"/>
      <w:bookmarkEnd w:id="6"/>
      <w:bookmarkEnd w:id="7"/>
      <w:bookmarkEnd w:id="8"/>
      <w:bookmarkEnd w:id="9"/>
    </w:p>
    <w:p>
      <w:pPr>
        <w:jc w:val="center"/>
        <w:rPr>
          <w:rFonts w:hint="default"/>
          <w:b/>
          <w:bCs/>
          <w:color w:val="auto"/>
          <w:sz w:val="56"/>
          <w:szCs w:val="96"/>
          <w:lang w:val="en-US" w:eastAsia="zh-CN"/>
        </w:rPr>
      </w:pPr>
    </w:p>
    <w:p>
      <w:pPr>
        <w:jc w:val="center"/>
        <w:rPr>
          <w:rFonts w:hint="default"/>
          <w:b/>
          <w:bCs/>
          <w:color w:val="auto"/>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bCs/>
          <w:color w:val="auto"/>
          <w:sz w:val="96"/>
          <w:szCs w:val="160"/>
          <w:lang w:val="en-US" w:eastAsia="zh-CN"/>
        </w:rPr>
      </w:pPr>
      <w:r>
        <w:rPr>
          <w:rFonts w:hint="eastAsia" w:ascii="黑体" w:hAnsi="黑体" w:eastAsia="黑体" w:cs="黑体"/>
          <w:b/>
          <w:bCs/>
          <w:color w:val="auto"/>
          <w:sz w:val="96"/>
          <w:szCs w:val="160"/>
          <w:lang w:val="en-US" w:eastAsia="zh-CN"/>
        </w:rPr>
        <w:t>招 标 文 件</w:t>
      </w:r>
    </w:p>
    <w:p>
      <w:pPr>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招标编号：ZB-ZJLW-2022-01</w:t>
      </w:r>
      <w:bookmarkStart w:id="1119" w:name="_GoBack"/>
      <w:bookmarkEnd w:id="1119"/>
    </w:p>
    <w:p>
      <w:pPr>
        <w:jc w:val="center"/>
        <w:rPr>
          <w:rFonts w:hint="eastAsia" w:ascii="黑体" w:hAnsi="黑体" w:eastAsia="黑体" w:cs="黑体"/>
          <w:b/>
          <w:bCs/>
          <w:color w:val="auto"/>
          <w:sz w:val="36"/>
          <w:szCs w:val="36"/>
          <w:lang w:val="en-US" w:eastAsia="zh-CN"/>
        </w:rPr>
      </w:pPr>
    </w:p>
    <w:p>
      <w:pPr>
        <w:jc w:val="center"/>
        <w:rPr>
          <w:rFonts w:hint="eastAsia" w:ascii="黑体" w:hAnsi="黑体" w:eastAsia="黑体" w:cs="黑体"/>
          <w:b/>
          <w:bCs/>
          <w:color w:val="auto"/>
          <w:sz w:val="36"/>
          <w:szCs w:val="36"/>
          <w:lang w:val="en-US" w:eastAsia="zh-CN"/>
        </w:rPr>
      </w:pPr>
    </w:p>
    <w:p>
      <w:pPr>
        <w:rPr>
          <w:rFonts w:hint="eastAsia" w:ascii="黑体" w:hAnsi="黑体" w:eastAsia="黑体" w:cs="黑体"/>
          <w:b/>
          <w:bCs/>
          <w:color w:val="auto"/>
          <w:sz w:val="36"/>
          <w:szCs w:val="36"/>
          <w:lang w:val="en-US" w:eastAsia="zh-CN"/>
        </w:rPr>
      </w:pPr>
    </w:p>
    <w:p>
      <w:pPr>
        <w:rPr>
          <w:rFonts w:hint="eastAsia"/>
          <w:lang w:val="en-US" w:eastAsia="zh-CN"/>
        </w:rPr>
      </w:pPr>
    </w:p>
    <w:p>
      <w:pPr>
        <w:jc w:val="center"/>
        <w:rPr>
          <w:rFonts w:hint="eastAsia" w:ascii="黑体" w:hAnsi="黑体" w:eastAsia="黑体" w:cs="黑体"/>
          <w:b/>
          <w:bCs/>
          <w:color w:val="auto"/>
          <w:sz w:val="36"/>
          <w:szCs w:val="36"/>
          <w:lang w:val="en-US" w:eastAsia="zh-CN"/>
        </w:rPr>
      </w:pPr>
    </w:p>
    <w:p>
      <w:pPr>
        <w:jc w:val="center"/>
        <w:outlineLvl w:val="9"/>
        <w:rPr>
          <w:rFonts w:hint="eastAsia" w:ascii="黑体" w:hAnsi="黑体" w:eastAsia="黑体" w:cs="黑体"/>
          <w:b/>
          <w:bCs/>
          <w:color w:val="auto"/>
          <w:sz w:val="36"/>
          <w:szCs w:val="44"/>
          <w:u w:val="single"/>
          <w:lang w:val="en-US" w:eastAsia="zh-CN"/>
        </w:rPr>
      </w:pPr>
      <w:bookmarkStart w:id="10" w:name="_Toc17198"/>
      <w:bookmarkStart w:id="11" w:name="_Toc23476"/>
      <w:bookmarkStart w:id="12" w:name="_Toc16897"/>
      <w:bookmarkStart w:id="13" w:name="_Toc31706"/>
      <w:bookmarkStart w:id="14" w:name="_Toc12716"/>
      <w:r>
        <w:rPr>
          <w:rFonts w:hint="eastAsia" w:ascii="黑体" w:hAnsi="黑体" w:eastAsia="黑体" w:cs="黑体"/>
          <w:b/>
          <w:bCs/>
          <w:color w:val="auto"/>
          <w:sz w:val="36"/>
          <w:szCs w:val="44"/>
          <w:lang w:val="en-US" w:eastAsia="zh-CN"/>
        </w:rPr>
        <w:t>招 标 人：</w:t>
      </w:r>
      <w:r>
        <w:rPr>
          <w:rFonts w:hint="eastAsia" w:ascii="黑体" w:hAnsi="黑体" w:eastAsia="黑体" w:cs="黑体"/>
          <w:b/>
          <w:bCs/>
          <w:color w:val="auto"/>
          <w:sz w:val="36"/>
          <w:szCs w:val="44"/>
          <w:u w:val="single"/>
          <w:lang w:val="en-US" w:eastAsia="zh-CN"/>
        </w:rPr>
        <w:t xml:space="preserve"> 重庆市建筑科学研究院有限公司</w:t>
      </w:r>
      <w:bookmarkEnd w:id="10"/>
      <w:bookmarkEnd w:id="11"/>
      <w:bookmarkEnd w:id="12"/>
      <w:bookmarkEnd w:id="13"/>
      <w:bookmarkEnd w:id="14"/>
      <w:r>
        <w:rPr>
          <w:rFonts w:hint="eastAsia" w:ascii="黑体" w:hAnsi="黑体" w:eastAsia="黑体" w:cs="黑体"/>
          <w:b/>
          <w:bCs/>
          <w:color w:val="auto"/>
          <w:sz w:val="36"/>
          <w:szCs w:val="44"/>
          <w:u w:val="single"/>
          <w:lang w:val="en-US" w:eastAsia="zh-CN"/>
        </w:rPr>
        <w:t xml:space="preserve"> </w:t>
      </w:r>
    </w:p>
    <w:p>
      <w:pPr>
        <w:jc w:val="center"/>
        <w:rPr>
          <w:rFonts w:hint="eastAsia" w:ascii="黑体" w:hAnsi="黑体" w:eastAsia="黑体" w:cs="黑体"/>
          <w:b/>
          <w:bCs/>
          <w:color w:val="auto"/>
          <w:sz w:val="36"/>
          <w:szCs w:val="44"/>
          <w:u w:val="none"/>
          <w:lang w:val="en-US" w:eastAsia="zh-CN"/>
        </w:rPr>
      </w:pPr>
    </w:p>
    <w:p>
      <w:pPr>
        <w:jc w:val="center"/>
        <w:rPr>
          <w:rFonts w:hint="eastAsia" w:ascii="黑体" w:hAnsi="黑体" w:eastAsia="黑体" w:cs="黑体"/>
          <w:b/>
          <w:bCs/>
          <w:color w:val="auto"/>
          <w:sz w:val="36"/>
          <w:szCs w:val="44"/>
          <w:u w:val="none"/>
          <w:lang w:val="en-US" w:eastAsia="zh-CN"/>
        </w:rPr>
      </w:pPr>
      <w:r>
        <w:rPr>
          <w:rFonts w:hint="eastAsia" w:ascii="黑体" w:hAnsi="黑体" w:eastAsia="黑体" w:cs="黑体"/>
          <w:b/>
          <w:bCs/>
          <w:color w:val="auto"/>
          <w:sz w:val="36"/>
          <w:szCs w:val="44"/>
          <w:u w:val="none"/>
          <w:lang w:val="en-US" w:eastAsia="zh-CN"/>
        </w:rPr>
        <w:t>2022年8月</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bookmarkStart w:id="15" w:name="_Toc11662"/>
      <w:bookmarkStart w:id="16" w:name="_Toc5116"/>
      <w:bookmarkStart w:id="17" w:name="_Toc30458"/>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r>
        <w:rPr>
          <w:rFonts w:ascii="宋体" w:hAnsi="宋体" w:eastAsia="宋体"/>
          <w:b/>
          <w:bCs/>
          <w:color w:val="auto"/>
          <w:sz w:val="36"/>
          <w:szCs w:val="44"/>
        </w:rPr>
        <w:t>目</w:t>
      </w:r>
      <w:r>
        <w:rPr>
          <w:rFonts w:hint="eastAsia" w:ascii="宋体" w:hAnsi="宋体" w:eastAsia="宋体"/>
          <w:b/>
          <w:bCs/>
          <w:color w:val="auto"/>
          <w:sz w:val="36"/>
          <w:szCs w:val="44"/>
          <w:lang w:val="en-US" w:eastAsia="zh-CN"/>
        </w:rPr>
        <w:t xml:space="preserve">    </w:t>
      </w:r>
      <w:r>
        <w:rPr>
          <w:rFonts w:ascii="宋体" w:hAnsi="宋体" w:eastAsia="宋体"/>
          <w:b/>
          <w:bCs/>
          <w:color w:val="auto"/>
          <w:sz w:val="36"/>
          <w:szCs w:val="44"/>
        </w:rPr>
        <w:t>录</w:t>
      </w:r>
      <w:bookmarkEnd w:id="15"/>
      <w:bookmarkEnd w:id="16"/>
      <w:bookmarkEnd w:id="17"/>
    </w:p>
    <w:p>
      <w:pPr>
        <w:pStyle w:val="13"/>
        <w:tabs>
          <w:tab w:val="right" w:leader="dot" w:pos="9467"/>
        </w:tabs>
      </w:pPr>
      <w:r>
        <w:fldChar w:fldCharType="begin"/>
      </w:r>
      <w:r>
        <w:instrText xml:space="preserve">TOC \o "1-4" \h \u </w:instrText>
      </w:r>
      <w:r>
        <w:fldChar w:fldCharType="separate"/>
      </w:r>
      <w:r>
        <w:fldChar w:fldCharType="begin"/>
      </w:r>
      <w:r>
        <w:instrText xml:space="preserve"> HYPERLINK \l _Toc17952 </w:instrText>
      </w:r>
      <w:r>
        <w:fldChar w:fldCharType="separate"/>
      </w:r>
      <w:r>
        <w:rPr>
          <w:rFonts w:hint="eastAsia" w:ascii="宋体" w:hAnsi="宋体"/>
          <w:szCs w:val="52"/>
        </w:rPr>
        <w:t>第 一 卷</w:t>
      </w:r>
      <w:r>
        <w:tab/>
      </w:r>
      <w:r>
        <w:fldChar w:fldCharType="begin"/>
      </w:r>
      <w:r>
        <w:instrText xml:space="preserve"> PAGEREF _Toc17952 \h </w:instrText>
      </w:r>
      <w:r>
        <w:fldChar w:fldCharType="separate"/>
      </w:r>
      <w:r>
        <w:t>4</w:t>
      </w:r>
      <w:r>
        <w:fldChar w:fldCharType="end"/>
      </w:r>
      <w:r>
        <w:fldChar w:fldCharType="end"/>
      </w:r>
    </w:p>
    <w:p>
      <w:pPr>
        <w:pStyle w:val="16"/>
        <w:tabs>
          <w:tab w:val="right" w:leader="dot" w:pos="9467"/>
        </w:tabs>
      </w:pPr>
      <w:r>
        <w:fldChar w:fldCharType="begin"/>
      </w:r>
      <w:r>
        <w:instrText xml:space="preserve"> HYPERLINK \l _Toc18814 </w:instrText>
      </w:r>
      <w:r>
        <w:fldChar w:fldCharType="separate"/>
      </w:r>
      <w:r>
        <w:rPr>
          <w:rFonts w:hint="eastAsia" w:ascii="宋体" w:hAnsi="宋体" w:eastAsia="宋体" w:cs="宋体"/>
          <w:snapToGrid w:val="0"/>
          <w:kern w:val="0"/>
        </w:rPr>
        <w:t>第一章  招标公告</w:t>
      </w:r>
      <w:r>
        <w:tab/>
      </w:r>
      <w:r>
        <w:fldChar w:fldCharType="begin"/>
      </w:r>
      <w:r>
        <w:instrText xml:space="preserve"> PAGEREF _Toc18814 \h </w:instrText>
      </w:r>
      <w:r>
        <w:fldChar w:fldCharType="separate"/>
      </w:r>
      <w:r>
        <w:t>5</w:t>
      </w:r>
      <w:r>
        <w:fldChar w:fldCharType="end"/>
      </w:r>
      <w:r>
        <w:fldChar w:fldCharType="end"/>
      </w:r>
    </w:p>
    <w:p>
      <w:pPr>
        <w:pStyle w:val="10"/>
        <w:tabs>
          <w:tab w:val="right" w:leader="dot" w:pos="9467"/>
        </w:tabs>
      </w:pPr>
      <w:r>
        <w:fldChar w:fldCharType="begin"/>
      </w:r>
      <w:r>
        <w:instrText xml:space="preserve"> HYPERLINK \l _Toc30918 </w:instrText>
      </w:r>
      <w:r>
        <w:fldChar w:fldCharType="separate"/>
      </w:r>
      <w:r>
        <w:rPr>
          <w:rFonts w:hint="eastAsia" w:ascii="宋体" w:hAnsi="宋体" w:eastAsia="宋体" w:cs="宋体"/>
          <w:bCs/>
          <w:szCs w:val="28"/>
          <w:lang w:val="en-US" w:eastAsia="zh-CN"/>
        </w:rPr>
        <w:t>1、招标条件</w:t>
      </w:r>
      <w:r>
        <w:tab/>
      </w:r>
      <w:r>
        <w:fldChar w:fldCharType="begin"/>
      </w:r>
      <w:r>
        <w:instrText xml:space="preserve"> PAGEREF _Toc30918 \h </w:instrText>
      </w:r>
      <w:r>
        <w:fldChar w:fldCharType="separate"/>
      </w:r>
      <w:r>
        <w:t>5</w:t>
      </w:r>
      <w:r>
        <w:fldChar w:fldCharType="end"/>
      </w:r>
      <w:r>
        <w:fldChar w:fldCharType="end"/>
      </w:r>
    </w:p>
    <w:p>
      <w:pPr>
        <w:pStyle w:val="10"/>
        <w:tabs>
          <w:tab w:val="right" w:leader="dot" w:pos="9467"/>
        </w:tabs>
      </w:pPr>
      <w:r>
        <w:fldChar w:fldCharType="begin"/>
      </w:r>
      <w:r>
        <w:instrText xml:space="preserve"> HYPERLINK \l _Toc16818 </w:instrText>
      </w:r>
      <w:r>
        <w:fldChar w:fldCharType="separate"/>
      </w:r>
      <w:r>
        <w:rPr>
          <w:rFonts w:hint="eastAsia" w:ascii="宋体" w:hAnsi="宋体" w:eastAsia="宋体" w:cs="宋体"/>
          <w:bCs/>
          <w:szCs w:val="28"/>
          <w:lang w:val="en-US" w:eastAsia="zh-CN"/>
        </w:rPr>
        <w:t>2、项目概况与招标范围</w:t>
      </w:r>
      <w:r>
        <w:tab/>
      </w:r>
      <w:r>
        <w:fldChar w:fldCharType="begin"/>
      </w:r>
      <w:r>
        <w:instrText xml:space="preserve"> PAGEREF _Toc16818 \h </w:instrText>
      </w:r>
      <w:r>
        <w:fldChar w:fldCharType="separate"/>
      </w:r>
      <w:r>
        <w:t>5</w:t>
      </w:r>
      <w:r>
        <w:fldChar w:fldCharType="end"/>
      </w:r>
      <w:r>
        <w:fldChar w:fldCharType="end"/>
      </w:r>
    </w:p>
    <w:p>
      <w:pPr>
        <w:pStyle w:val="10"/>
        <w:tabs>
          <w:tab w:val="right" w:leader="dot" w:pos="9467"/>
        </w:tabs>
      </w:pPr>
      <w:r>
        <w:fldChar w:fldCharType="begin"/>
      </w:r>
      <w:r>
        <w:instrText xml:space="preserve"> HYPERLINK \l _Toc6609 </w:instrText>
      </w:r>
      <w:r>
        <w:fldChar w:fldCharType="separate"/>
      </w:r>
      <w:r>
        <w:rPr>
          <w:rFonts w:hint="eastAsia" w:ascii="宋体" w:hAnsi="宋体" w:eastAsia="宋体" w:cs="宋体"/>
          <w:bCs/>
          <w:szCs w:val="28"/>
          <w:lang w:val="en-US" w:eastAsia="zh-CN"/>
        </w:rPr>
        <w:t>3、投标人资格要求</w:t>
      </w:r>
      <w:r>
        <w:tab/>
      </w:r>
      <w:r>
        <w:fldChar w:fldCharType="begin"/>
      </w:r>
      <w:r>
        <w:instrText xml:space="preserve"> PAGEREF _Toc6609 \h </w:instrText>
      </w:r>
      <w:r>
        <w:fldChar w:fldCharType="separate"/>
      </w:r>
      <w:r>
        <w:t>5</w:t>
      </w:r>
      <w:r>
        <w:fldChar w:fldCharType="end"/>
      </w:r>
      <w:r>
        <w:fldChar w:fldCharType="end"/>
      </w:r>
    </w:p>
    <w:p>
      <w:pPr>
        <w:pStyle w:val="10"/>
        <w:tabs>
          <w:tab w:val="right" w:leader="dot" w:pos="9467"/>
        </w:tabs>
      </w:pPr>
      <w:r>
        <w:fldChar w:fldCharType="begin"/>
      </w:r>
      <w:r>
        <w:instrText xml:space="preserve"> HYPERLINK \l _Toc4921 </w:instrText>
      </w:r>
      <w:r>
        <w:fldChar w:fldCharType="separate"/>
      </w:r>
      <w:r>
        <w:rPr>
          <w:rFonts w:hint="eastAsia" w:ascii="宋体" w:hAnsi="宋体" w:eastAsia="宋体" w:cs="宋体"/>
          <w:bCs/>
          <w:szCs w:val="28"/>
          <w:lang w:val="en-US" w:eastAsia="zh-CN"/>
        </w:rPr>
        <w:t>4、招标文件的获取</w:t>
      </w:r>
      <w:r>
        <w:tab/>
      </w:r>
      <w:r>
        <w:fldChar w:fldCharType="begin"/>
      </w:r>
      <w:r>
        <w:instrText xml:space="preserve"> PAGEREF _Toc4921 \h </w:instrText>
      </w:r>
      <w:r>
        <w:fldChar w:fldCharType="separate"/>
      </w:r>
      <w:r>
        <w:t>6</w:t>
      </w:r>
      <w:r>
        <w:fldChar w:fldCharType="end"/>
      </w:r>
      <w:r>
        <w:fldChar w:fldCharType="end"/>
      </w:r>
    </w:p>
    <w:p>
      <w:pPr>
        <w:pStyle w:val="10"/>
        <w:tabs>
          <w:tab w:val="right" w:leader="dot" w:pos="9467"/>
        </w:tabs>
      </w:pPr>
      <w:r>
        <w:fldChar w:fldCharType="begin"/>
      </w:r>
      <w:r>
        <w:instrText xml:space="preserve"> HYPERLINK \l _Toc4709 </w:instrText>
      </w:r>
      <w:r>
        <w:fldChar w:fldCharType="separate"/>
      </w:r>
      <w:r>
        <w:rPr>
          <w:rFonts w:hint="eastAsia" w:ascii="宋体" w:hAnsi="宋体" w:eastAsia="宋体" w:cs="宋体"/>
          <w:bCs/>
          <w:szCs w:val="28"/>
          <w:lang w:val="en-US" w:eastAsia="zh-CN"/>
        </w:rPr>
        <w:t>5、投标文件的递交</w:t>
      </w:r>
      <w:r>
        <w:tab/>
      </w:r>
      <w:r>
        <w:fldChar w:fldCharType="begin"/>
      </w:r>
      <w:r>
        <w:instrText xml:space="preserve"> PAGEREF _Toc4709 \h </w:instrText>
      </w:r>
      <w:r>
        <w:fldChar w:fldCharType="separate"/>
      </w:r>
      <w:r>
        <w:t>6</w:t>
      </w:r>
      <w:r>
        <w:fldChar w:fldCharType="end"/>
      </w:r>
      <w:r>
        <w:fldChar w:fldCharType="end"/>
      </w:r>
    </w:p>
    <w:p>
      <w:pPr>
        <w:pStyle w:val="10"/>
        <w:tabs>
          <w:tab w:val="right" w:leader="dot" w:pos="9467"/>
        </w:tabs>
      </w:pPr>
      <w:r>
        <w:fldChar w:fldCharType="begin"/>
      </w:r>
      <w:r>
        <w:instrText xml:space="preserve"> HYPERLINK \l _Toc16553 </w:instrText>
      </w:r>
      <w:r>
        <w:fldChar w:fldCharType="separate"/>
      </w:r>
      <w:r>
        <w:rPr>
          <w:rFonts w:hint="eastAsia" w:ascii="宋体" w:hAnsi="宋体" w:eastAsia="宋体" w:cs="宋体"/>
          <w:bCs/>
          <w:szCs w:val="28"/>
          <w:lang w:val="en-US" w:eastAsia="zh-CN"/>
        </w:rPr>
        <w:t>6、投标文件装订要求</w:t>
      </w:r>
      <w:r>
        <w:tab/>
      </w:r>
      <w:r>
        <w:fldChar w:fldCharType="begin"/>
      </w:r>
      <w:r>
        <w:instrText xml:space="preserve"> PAGEREF _Toc16553 \h </w:instrText>
      </w:r>
      <w:r>
        <w:fldChar w:fldCharType="separate"/>
      </w:r>
      <w:r>
        <w:t>7</w:t>
      </w:r>
      <w:r>
        <w:fldChar w:fldCharType="end"/>
      </w:r>
      <w:r>
        <w:fldChar w:fldCharType="end"/>
      </w:r>
    </w:p>
    <w:p>
      <w:pPr>
        <w:pStyle w:val="10"/>
        <w:tabs>
          <w:tab w:val="right" w:leader="dot" w:pos="9467"/>
        </w:tabs>
      </w:pPr>
      <w:r>
        <w:fldChar w:fldCharType="begin"/>
      </w:r>
      <w:r>
        <w:instrText xml:space="preserve"> HYPERLINK \l _Toc10421 </w:instrText>
      </w:r>
      <w:r>
        <w:fldChar w:fldCharType="separate"/>
      </w:r>
      <w:r>
        <w:rPr>
          <w:rFonts w:hint="eastAsia" w:ascii="宋体" w:hAnsi="宋体" w:eastAsia="宋体" w:cs="宋体"/>
          <w:bCs/>
          <w:szCs w:val="28"/>
          <w:lang w:val="en-US" w:eastAsia="zh-CN"/>
        </w:rPr>
        <w:t>7</w:t>
      </w:r>
      <w:r>
        <w:rPr>
          <w:rFonts w:hint="eastAsia" w:ascii="宋体" w:hAnsi="宋体" w:cs="宋体"/>
          <w:bCs/>
          <w:szCs w:val="28"/>
          <w:lang w:val="en-US" w:eastAsia="zh-CN"/>
        </w:rPr>
        <w:t>、</w:t>
      </w:r>
      <w:r>
        <w:rPr>
          <w:rFonts w:hint="eastAsia" w:ascii="宋体" w:hAnsi="宋体" w:eastAsia="宋体" w:cs="宋体"/>
          <w:bCs/>
          <w:szCs w:val="28"/>
          <w:lang w:val="en-US" w:eastAsia="zh-CN"/>
        </w:rPr>
        <w:t>联系方式</w:t>
      </w:r>
      <w:r>
        <w:tab/>
      </w:r>
      <w:r>
        <w:fldChar w:fldCharType="begin"/>
      </w:r>
      <w:r>
        <w:instrText xml:space="preserve"> PAGEREF _Toc10421 \h </w:instrText>
      </w:r>
      <w:r>
        <w:fldChar w:fldCharType="separate"/>
      </w:r>
      <w:r>
        <w:t>7</w:t>
      </w:r>
      <w:r>
        <w:fldChar w:fldCharType="end"/>
      </w:r>
      <w:r>
        <w:fldChar w:fldCharType="end"/>
      </w:r>
    </w:p>
    <w:p>
      <w:pPr>
        <w:pStyle w:val="16"/>
        <w:tabs>
          <w:tab w:val="right" w:leader="dot" w:pos="9467"/>
        </w:tabs>
      </w:pPr>
      <w:r>
        <w:fldChar w:fldCharType="begin"/>
      </w:r>
      <w:r>
        <w:instrText xml:space="preserve"> HYPERLINK \l _Toc30072 </w:instrText>
      </w:r>
      <w:r>
        <w:fldChar w:fldCharType="separate"/>
      </w:r>
      <w:r>
        <w:rPr>
          <w:rFonts w:ascii="宋体" w:hAnsi="宋体"/>
          <w:snapToGrid w:val="0"/>
          <w:kern w:val="0"/>
        </w:rPr>
        <w:t>第二章  投标人须知</w:t>
      </w:r>
      <w:r>
        <w:tab/>
      </w:r>
      <w:r>
        <w:fldChar w:fldCharType="begin"/>
      </w:r>
      <w:r>
        <w:instrText xml:space="preserve"> PAGEREF _Toc30072 \h </w:instrText>
      </w:r>
      <w:r>
        <w:fldChar w:fldCharType="separate"/>
      </w:r>
      <w:r>
        <w:t>8</w:t>
      </w:r>
      <w:r>
        <w:fldChar w:fldCharType="end"/>
      </w:r>
      <w:r>
        <w:fldChar w:fldCharType="end"/>
      </w:r>
    </w:p>
    <w:p>
      <w:pPr>
        <w:pStyle w:val="10"/>
        <w:tabs>
          <w:tab w:val="right" w:leader="dot" w:pos="9467"/>
        </w:tabs>
      </w:pPr>
      <w:r>
        <w:fldChar w:fldCharType="begin"/>
      </w:r>
      <w:r>
        <w:instrText xml:space="preserve"> HYPERLINK \l _Toc10285 </w:instrText>
      </w:r>
      <w:r>
        <w:fldChar w:fldCharType="separate"/>
      </w:r>
      <w:r>
        <w:rPr>
          <w:rFonts w:hint="eastAsia" w:ascii="宋体" w:hAnsi="宋体"/>
        </w:rPr>
        <w:t>投标人须知前附表</w:t>
      </w:r>
      <w:r>
        <w:tab/>
      </w:r>
      <w:r>
        <w:fldChar w:fldCharType="begin"/>
      </w:r>
      <w:r>
        <w:instrText xml:space="preserve"> PAGEREF _Toc10285 \h </w:instrText>
      </w:r>
      <w:r>
        <w:fldChar w:fldCharType="separate"/>
      </w:r>
      <w:r>
        <w:t>8</w:t>
      </w:r>
      <w:r>
        <w:fldChar w:fldCharType="end"/>
      </w:r>
      <w:r>
        <w:fldChar w:fldCharType="end"/>
      </w:r>
    </w:p>
    <w:p>
      <w:pPr>
        <w:pStyle w:val="10"/>
        <w:tabs>
          <w:tab w:val="right" w:leader="dot" w:pos="9467"/>
        </w:tabs>
      </w:pPr>
      <w:r>
        <w:fldChar w:fldCharType="begin"/>
      </w:r>
      <w:r>
        <w:instrText xml:space="preserve"> HYPERLINK \l _Toc3589 </w:instrText>
      </w:r>
      <w:r>
        <w:fldChar w:fldCharType="separate"/>
      </w:r>
      <w:r>
        <w:rPr>
          <w:rFonts w:ascii="宋体" w:hAnsi="宋体" w:eastAsia="宋体" w:cs="Times New Roman"/>
          <w:bCs w:val="0"/>
          <w:snapToGrid w:val="0"/>
          <w:kern w:val="2"/>
          <w:szCs w:val="32"/>
          <w:lang w:val="en-US" w:eastAsia="zh-CN" w:bidi="ar-SA"/>
        </w:rPr>
        <w:t>1.总则</w:t>
      </w:r>
      <w:r>
        <w:tab/>
      </w:r>
      <w:r>
        <w:fldChar w:fldCharType="begin"/>
      </w:r>
      <w:r>
        <w:instrText xml:space="preserve"> PAGEREF _Toc3589 \h </w:instrText>
      </w:r>
      <w:r>
        <w:fldChar w:fldCharType="separate"/>
      </w:r>
      <w:r>
        <w:t>19</w:t>
      </w:r>
      <w:r>
        <w:fldChar w:fldCharType="end"/>
      </w:r>
      <w:r>
        <w:fldChar w:fldCharType="end"/>
      </w:r>
    </w:p>
    <w:p>
      <w:pPr>
        <w:pStyle w:val="10"/>
        <w:tabs>
          <w:tab w:val="right" w:leader="dot" w:pos="9467"/>
        </w:tabs>
      </w:pPr>
      <w:r>
        <w:fldChar w:fldCharType="begin"/>
      </w:r>
      <w:r>
        <w:instrText xml:space="preserve"> HYPERLINK \l _Toc18374 </w:instrText>
      </w:r>
      <w:r>
        <w:fldChar w:fldCharType="separate"/>
      </w:r>
      <w:r>
        <w:rPr>
          <w:rFonts w:ascii="宋体" w:hAnsi="宋体" w:eastAsia="宋体" w:cs="Times New Roman"/>
          <w:bCs w:val="0"/>
          <w:snapToGrid w:val="0"/>
          <w:szCs w:val="32"/>
        </w:rPr>
        <w:t>2.招标文件</w:t>
      </w:r>
      <w:r>
        <w:tab/>
      </w:r>
      <w:r>
        <w:fldChar w:fldCharType="begin"/>
      </w:r>
      <w:r>
        <w:instrText xml:space="preserve"> PAGEREF _Toc18374 \h </w:instrText>
      </w:r>
      <w:r>
        <w:fldChar w:fldCharType="separate"/>
      </w:r>
      <w:r>
        <w:t>20</w:t>
      </w:r>
      <w:r>
        <w:fldChar w:fldCharType="end"/>
      </w:r>
      <w:r>
        <w:fldChar w:fldCharType="end"/>
      </w:r>
    </w:p>
    <w:p>
      <w:pPr>
        <w:pStyle w:val="10"/>
        <w:tabs>
          <w:tab w:val="right" w:leader="dot" w:pos="9467"/>
        </w:tabs>
      </w:pPr>
      <w:r>
        <w:fldChar w:fldCharType="begin"/>
      </w:r>
      <w:r>
        <w:instrText xml:space="preserve"> HYPERLINK \l _Toc26903 </w:instrText>
      </w:r>
      <w:r>
        <w:fldChar w:fldCharType="separate"/>
      </w:r>
      <w:r>
        <w:rPr>
          <w:rFonts w:ascii="宋体" w:hAnsi="宋体" w:eastAsia="宋体" w:cs="Times New Roman"/>
          <w:bCs w:val="0"/>
          <w:snapToGrid w:val="0"/>
          <w:szCs w:val="32"/>
        </w:rPr>
        <w:t>3.投标文件</w:t>
      </w:r>
      <w:r>
        <w:tab/>
      </w:r>
      <w:r>
        <w:fldChar w:fldCharType="begin"/>
      </w:r>
      <w:r>
        <w:instrText xml:space="preserve"> PAGEREF _Toc26903 \h </w:instrText>
      </w:r>
      <w:r>
        <w:fldChar w:fldCharType="separate"/>
      </w:r>
      <w:r>
        <w:t>21</w:t>
      </w:r>
      <w:r>
        <w:fldChar w:fldCharType="end"/>
      </w:r>
      <w:r>
        <w:fldChar w:fldCharType="end"/>
      </w:r>
    </w:p>
    <w:p>
      <w:pPr>
        <w:pStyle w:val="10"/>
        <w:tabs>
          <w:tab w:val="right" w:leader="dot" w:pos="9467"/>
        </w:tabs>
      </w:pPr>
      <w:r>
        <w:fldChar w:fldCharType="begin"/>
      </w:r>
      <w:r>
        <w:instrText xml:space="preserve"> HYPERLINK \l _Toc10263 </w:instrText>
      </w:r>
      <w:r>
        <w:fldChar w:fldCharType="separate"/>
      </w:r>
      <w:r>
        <w:rPr>
          <w:rFonts w:ascii="宋体" w:hAnsi="宋体" w:eastAsia="宋体" w:cs="Times New Roman"/>
          <w:bCs w:val="0"/>
          <w:snapToGrid w:val="0"/>
          <w:szCs w:val="32"/>
        </w:rPr>
        <w:t>4.投标</w:t>
      </w:r>
      <w:r>
        <w:tab/>
      </w:r>
      <w:r>
        <w:fldChar w:fldCharType="begin"/>
      </w:r>
      <w:r>
        <w:instrText xml:space="preserve"> PAGEREF _Toc10263 \h </w:instrText>
      </w:r>
      <w:r>
        <w:fldChar w:fldCharType="separate"/>
      </w:r>
      <w:r>
        <w:t>23</w:t>
      </w:r>
      <w:r>
        <w:fldChar w:fldCharType="end"/>
      </w:r>
      <w:r>
        <w:fldChar w:fldCharType="end"/>
      </w:r>
    </w:p>
    <w:p>
      <w:pPr>
        <w:pStyle w:val="10"/>
        <w:tabs>
          <w:tab w:val="right" w:leader="dot" w:pos="9467"/>
        </w:tabs>
      </w:pPr>
      <w:r>
        <w:fldChar w:fldCharType="begin"/>
      </w:r>
      <w:r>
        <w:instrText xml:space="preserve"> HYPERLINK \l _Toc5674 </w:instrText>
      </w:r>
      <w:r>
        <w:fldChar w:fldCharType="separate"/>
      </w:r>
      <w:r>
        <w:rPr>
          <w:rFonts w:ascii="宋体" w:hAnsi="宋体" w:eastAsia="宋体" w:cs="Times New Roman"/>
          <w:bCs w:val="0"/>
          <w:snapToGrid w:val="0"/>
          <w:szCs w:val="32"/>
        </w:rPr>
        <w:t>5.开标</w:t>
      </w:r>
      <w:r>
        <w:tab/>
      </w:r>
      <w:r>
        <w:fldChar w:fldCharType="begin"/>
      </w:r>
      <w:r>
        <w:instrText xml:space="preserve"> PAGEREF _Toc5674 \h </w:instrText>
      </w:r>
      <w:r>
        <w:fldChar w:fldCharType="separate"/>
      </w:r>
      <w:r>
        <w:t>23</w:t>
      </w:r>
      <w:r>
        <w:fldChar w:fldCharType="end"/>
      </w:r>
      <w:r>
        <w:fldChar w:fldCharType="end"/>
      </w:r>
    </w:p>
    <w:p>
      <w:pPr>
        <w:pStyle w:val="10"/>
        <w:tabs>
          <w:tab w:val="right" w:leader="dot" w:pos="9467"/>
        </w:tabs>
      </w:pPr>
      <w:r>
        <w:fldChar w:fldCharType="begin"/>
      </w:r>
      <w:r>
        <w:instrText xml:space="preserve"> HYPERLINK \l _Toc20200 </w:instrText>
      </w:r>
      <w:r>
        <w:fldChar w:fldCharType="separate"/>
      </w:r>
      <w:r>
        <w:rPr>
          <w:rFonts w:ascii="宋体" w:hAnsi="宋体" w:eastAsia="宋体" w:cs="Times New Roman"/>
          <w:bCs w:val="0"/>
          <w:snapToGrid w:val="0"/>
          <w:szCs w:val="32"/>
        </w:rPr>
        <w:t>6.评标</w:t>
      </w:r>
      <w:r>
        <w:tab/>
      </w:r>
      <w:r>
        <w:fldChar w:fldCharType="begin"/>
      </w:r>
      <w:r>
        <w:instrText xml:space="preserve"> PAGEREF _Toc20200 \h </w:instrText>
      </w:r>
      <w:r>
        <w:fldChar w:fldCharType="separate"/>
      </w:r>
      <w:r>
        <w:t>23</w:t>
      </w:r>
      <w:r>
        <w:fldChar w:fldCharType="end"/>
      </w:r>
      <w:r>
        <w:fldChar w:fldCharType="end"/>
      </w:r>
    </w:p>
    <w:p>
      <w:pPr>
        <w:pStyle w:val="10"/>
        <w:tabs>
          <w:tab w:val="right" w:leader="dot" w:pos="9467"/>
        </w:tabs>
      </w:pPr>
      <w:r>
        <w:fldChar w:fldCharType="begin"/>
      </w:r>
      <w:r>
        <w:instrText xml:space="preserve"> HYPERLINK \l _Toc20284 </w:instrText>
      </w:r>
      <w:r>
        <w:fldChar w:fldCharType="separate"/>
      </w:r>
      <w:r>
        <w:rPr>
          <w:rFonts w:ascii="宋体" w:hAnsi="宋体" w:eastAsia="宋体" w:cs="Times New Roman"/>
          <w:bCs w:val="0"/>
          <w:snapToGrid w:val="0"/>
          <w:szCs w:val="32"/>
        </w:rPr>
        <w:t>7.合同授予</w:t>
      </w:r>
      <w:r>
        <w:tab/>
      </w:r>
      <w:r>
        <w:fldChar w:fldCharType="begin"/>
      </w:r>
      <w:r>
        <w:instrText xml:space="preserve"> PAGEREF _Toc20284 \h </w:instrText>
      </w:r>
      <w:r>
        <w:fldChar w:fldCharType="separate"/>
      </w:r>
      <w:r>
        <w:t>24</w:t>
      </w:r>
      <w:r>
        <w:fldChar w:fldCharType="end"/>
      </w:r>
      <w:r>
        <w:fldChar w:fldCharType="end"/>
      </w:r>
    </w:p>
    <w:p>
      <w:pPr>
        <w:pStyle w:val="10"/>
        <w:tabs>
          <w:tab w:val="right" w:leader="dot" w:pos="9467"/>
        </w:tabs>
      </w:pPr>
      <w:r>
        <w:fldChar w:fldCharType="begin"/>
      </w:r>
      <w:r>
        <w:instrText xml:space="preserve"> HYPERLINK \l _Toc29768 </w:instrText>
      </w:r>
      <w:r>
        <w:fldChar w:fldCharType="separate"/>
      </w:r>
      <w:r>
        <w:rPr>
          <w:rFonts w:ascii="宋体" w:hAnsi="宋体" w:eastAsia="宋体" w:cs="Times New Roman"/>
          <w:bCs w:val="0"/>
          <w:snapToGrid w:val="0"/>
          <w:szCs w:val="32"/>
        </w:rPr>
        <w:t>8.重新招标和不再招标</w:t>
      </w:r>
      <w:r>
        <w:tab/>
      </w:r>
      <w:r>
        <w:fldChar w:fldCharType="begin"/>
      </w:r>
      <w:r>
        <w:instrText xml:space="preserve"> PAGEREF _Toc29768 \h </w:instrText>
      </w:r>
      <w:r>
        <w:fldChar w:fldCharType="separate"/>
      </w:r>
      <w:r>
        <w:t>25</w:t>
      </w:r>
      <w:r>
        <w:fldChar w:fldCharType="end"/>
      </w:r>
      <w:r>
        <w:fldChar w:fldCharType="end"/>
      </w:r>
    </w:p>
    <w:p>
      <w:pPr>
        <w:pStyle w:val="10"/>
        <w:tabs>
          <w:tab w:val="right" w:leader="dot" w:pos="9467"/>
        </w:tabs>
      </w:pPr>
      <w:r>
        <w:fldChar w:fldCharType="begin"/>
      </w:r>
      <w:r>
        <w:instrText xml:space="preserve"> HYPERLINK \l _Toc25086 </w:instrText>
      </w:r>
      <w:r>
        <w:fldChar w:fldCharType="separate"/>
      </w:r>
      <w:r>
        <w:rPr>
          <w:rFonts w:ascii="宋体" w:hAnsi="宋体" w:eastAsia="宋体" w:cs="Times New Roman"/>
          <w:bCs w:val="0"/>
          <w:snapToGrid w:val="0"/>
          <w:szCs w:val="32"/>
        </w:rPr>
        <w:t>9.纪律和监督</w:t>
      </w:r>
      <w:r>
        <w:tab/>
      </w:r>
      <w:r>
        <w:fldChar w:fldCharType="begin"/>
      </w:r>
      <w:r>
        <w:instrText xml:space="preserve"> PAGEREF _Toc25086 \h </w:instrText>
      </w:r>
      <w:r>
        <w:fldChar w:fldCharType="separate"/>
      </w:r>
      <w:r>
        <w:t>25</w:t>
      </w:r>
      <w:r>
        <w:fldChar w:fldCharType="end"/>
      </w:r>
      <w:r>
        <w:fldChar w:fldCharType="end"/>
      </w:r>
    </w:p>
    <w:p>
      <w:pPr>
        <w:pStyle w:val="10"/>
        <w:tabs>
          <w:tab w:val="right" w:leader="dot" w:pos="9467"/>
        </w:tabs>
      </w:pPr>
      <w:r>
        <w:fldChar w:fldCharType="begin"/>
      </w:r>
      <w:r>
        <w:instrText xml:space="preserve"> HYPERLINK \l _Toc21884 </w:instrText>
      </w:r>
      <w:r>
        <w:fldChar w:fldCharType="separate"/>
      </w:r>
      <w:r>
        <w:rPr>
          <w:rFonts w:ascii="宋体" w:hAnsi="宋体" w:eastAsia="宋体" w:cs="Times New Roman"/>
          <w:bCs w:val="0"/>
          <w:snapToGrid w:val="0"/>
          <w:szCs w:val="32"/>
        </w:rPr>
        <w:t>10.需要补充的其他内容</w:t>
      </w:r>
      <w:r>
        <w:tab/>
      </w:r>
      <w:r>
        <w:fldChar w:fldCharType="begin"/>
      </w:r>
      <w:r>
        <w:instrText xml:space="preserve"> PAGEREF _Toc21884 \h </w:instrText>
      </w:r>
      <w:r>
        <w:fldChar w:fldCharType="separate"/>
      </w:r>
      <w:r>
        <w:t>27</w:t>
      </w:r>
      <w:r>
        <w:fldChar w:fldCharType="end"/>
      </w:r>
      <w:r>
        <w:fldChar w:fldCharType="end"/>
      </w:r>
    </w:p>
    <w:p>
      <w:pPr>
        <w:pStyle w:val="16"/>
        <w:tabs>
          <w:tab w:val="right" w:leader="dot" w:pos="9467"/>
        </w:tabs>
      </w:pPr>
      <w:r>
        <w:fldChar w:fldCharType="begin"/>
      </w:r>
      <w:r>
        <w:instrText xml:space="preserve"> HYPERLINK \l _Toc2964 </w:instrText>
      </w:r>
      <w:r>
        <w:fldChar w:fldCharType="separate"/>
      </w:r>
      <w:r>
        <w:rPr>
          <w:rFonts w:ascii="宋体" w:hAnsi="宋体"/>
        </w:rPr>
        <w:t xml:space="preserve">第三章 </w:t>
      </w:r>
      <w:r>
        <w:rPr>
          <w:rFonts w:hint="eastAsia" w:ascii="宋体" w:hAnsi="宋体"/>
        </w:rPr>
        <w:t xml:space="preserve"> </w:t>
      </w:r>
      <w:r>
        <w:rPr>
          <w:rFonts w:ascii="宋体" w:hAnsi="宋体"/>
        </w:rPr>
        <w:t>评标办法（</w:t>
      </w:r>
      <w:r>
        <w:rPr>
          <w:rFonts w:hint="eastAsia" w:ascii="宋体" w:hAnsi="宋体"/>
        </w:rPr>
        <w:t xml:space="preserve">经评审的最低投标价法 </w:t>
      </w:r>
      <w:r>
        <w:rPr>
          <w:rFonts w:ascii="宋体" w:hAnsi="宋体"/>
        </w:rPr>
        <w:t>）</w:t>
      </w:r>
      <w:r>
        <w:tab/>
      </w:r>
      <w:r>
        <w:fldChar w:fldCharType="begin"/>
      </w:r>
      <w:r>
        <w:instrText xml:space="preserve"> PAGEREF _Toc2964 \h </w:instrText>
      </w:r>
      <w:r>
        <w:fldChar w:fldCharType="separate"/>
      </w:r>
      <w:r>
        <w:t>28</w:t>
      </w:r>
      <w:r>
        <w:fldChar w:fldCharType="end"/>
      </w:r>
      <w:r>
        <w:fldChar w:fldCharType="end"/>
      </w:r>
    </w:p>
    <w:p>
      <w:pPr>
        <w:pStyle w:val="10"/>
        <w:tabs>
          <w:tab w:val="right" w:leader="dot" w:pos="9467"/>
        </w:tabs>
      </w:pPr>
      <w:r>
        <w:fldChar w:fldCharType="begin"/>
      </w:r>
      <w:r>
        <w:instrText xml:space="preserve"> HYPERLINK \l _Toc9281 </w:instrText>
      </w:r>
      <w:r>
        <w:fldChar w:fldCharType="separate"/>
      </w:r>
      <w:r>
        <w:rPr>
          <w:rFonts w:hint="eastAsia" w:ascii="宋体" w:hAnsi="宋体"/>
        </w:rPr>
        <w:t>评标办法前附表</w:t>
      </w:r>
      <w:r>
        <w:tab/>
      </w:r>
      <w:r>
        <w:fldChar w:fldCharType="begin"/>
      </w:r>
      <w:r>
        <w:instrText xml:space="preserve"> PAGEREF _Toc9281 \h </w:instrText>
      </w:r>
      <w:r>
        <w:fldChar w:fldCharType="separate"/>
      </w:r>
      <w:r>
        <w:t>28</w:t>
      </w:r>
      <w:r>
        <w:fldChar w:fldCharType="end"/>
      </w:r>
      <w:r>
        <w:fldChar w:fldCharType="end"/>
      </w:r>
    </w:p>
    <w:p>
      <w:pPr>
        <w:pStyle w:val="10"/>
        <w:tabs>
          <w:tab w:val="right" w:leader="dot" w:pos="9467"/>
        </w:tabs>
      </w:pPr>
      <w:r>
        <w:fldChar w:fldCharType="begin"/>
      </w:r>
      <w:r>
        <w:instrText xml:space="preserve"> HYPERLINK \l _Toc9034 </w:instrText>
      </w:r>
      <w:r>
        <w:fldChar w:fldCharType="separate"/>
      </w:r>
      <w:r>
        <w:rPr>
          <w:rFonts w:ascii="宋体" w:hAnsi="宋体" w:eastAsia="宋体" w:cs="Times New Roman"/>
          <w:bCs w:val="0"/>
          <w:snapToGrid w:val="0"/>
          <w:szCs w:val="32"/>
        </w:rPr>
        <w:t>1.评标方法</w:t>
      </w:r>
      <w:r>
        <w:tab/>
      </w:r>
      <w:r>
        <w:fldChar w:fldCharType="begin"/>
      </w:r>
      <w:r>
        <w:instrText xml:space="preserve"> PAGEREF _Toc9034 \h </w:instrText>
      </w:r>
      <w:r>
        <w:fldChar w:fldCharType="separate"/>
      </w:r>
      <w:r>
        <w:t>31</w:t>
      </w:r>
      <w:r>
        <w:fldChar w:fldCharType="end"/>
      </w:r>
      <w:r>
        <w:fldChar w:fldCharType="end"/>
      </w:r>
    </w:p>
    <w:p>
      <w:pPr>
        <w:pStyle w:val="10"/>
        <w:tabs>
          <w:tab w:val="right" w:leader="dot" w:pos="9467"/>
        </w:tabs>
      </w:pPr>
      <w:r>
        <w:fldChar w:fldCharType="begin"/>
      </w:r>
      <w:r>
        <w:instrText xml:space="preserve"> HYPERLINK \l _Toc7474 </w:instrText>
      </w:r>
      <w:r>
        <w:fldChar w:fldCharType="separate"/>
      </w:r>
      <w:r>
        <w:rPr>
          <w:rFonts w:ascii="宋体" w:hAnsi="宋体" w:eastAsia="宋体" w:cs="Times New Roman"/>
          <w:bCs w:val="0"/>
          <w:snapToGrid w:val="0"/>
          <w:szCs w:val="32"/>
        </w:rPr>
        <w:t>2.评审标准</w:t>
      </w:r>
      <w:r>
        <w:tab/>
      </w:r>
      <w:r>
        <w:fldChar w:fldCharType="begin"/>
      </w:r>
      <w:r>
        <w:instrText xml:space="preserve"> PAGEREF _Toc7474 \h </w:instrText>
      </w:r>
      <w:r>
        <w:fldChar w:fldCharType="separate"/>
      </w:r>
      <w:r>
        <w:t>31</w:t>
      </w:r>
      <w:r>
        <w:fldChar w:fldCharType="end"/>
      </w:r>
      <w:r>
        <w:fldChar w:fldCharType="end"/>
      </w:r>
    </w:p>
    <w:p>
      <w:pPr>
        <w:pStyle w:val="10"/>
        <w:tabs>
          <w:tab w:val="right" w:leader="dot" w:pos="9467"/>
        </w:tabs>
      </w:pPr>
      <w:r>
        <w:fldChar w:fldCharType="begin"/>
      </w:r>
      <w:r>
        <w:instrText xml:space="preserve"> HYPERLINK \l _Toc5088 </w:instrText>
      </w:r>
      <w:r>
        <w:fldChar w:fldCharType="separate"/>
      </w:r>
      <w:r>
        <w:rPr>
          <w:rFonts w:ascii="宋体" w:hAnsi="宋体" w:eastAsia="宋体" w:cs="Times New Roman"/>
          <w:bCs w:val="0"/>
          <w:snapToGrid w:val="0"/>
          <w:szCs w:val="32"/>
        </w:rPr>
        <w:t>3.评标程序</w:t>
      </w:r>
      <w:r>
        <w:tab/>
      </w:r>
      <w:r>
        <w:fldChar w:fldCharType="begin"/>
      </w:r>
      <w:r>
        <w:instrText xml:space="preserve"> PAGEREF _Toc5088 \h </w:instrText>
      </w:r>
      <w:r>
        <w:fldChar w:fldCharType="separate"/>
      </w:r>
      <w:r>
        <w:t>31</w:t>
      </w:r>
      <w:r>
        <w:fldChar w:fldCharType="end"/>
      </w:r>
      <w:r>
        <w:fldChar w:fldCharType="end"/>
      </w:r>
    </w:p>
    <w:p>
      <w:pPr>
        <w:pStyle w:val="10"/>
        <w:tabs>
          <w:tab w:val="right" w:leader="dot" w:pos="9467"/>
        </w:tabs>
      </w:pPr>
      <w:r>
        <w:fldChar w:fldCharType="begin"/>
      </w:r>
      <w:r>
        <w:instrText xml:space="preserve"> HYPERLINK \l _Toc26198 </w:instrText>
      </w:r>
      <w:r>
        <w:fldChar w:fldCharType="separate"/>
      </w:r>
      <w:r>
        <w:rPr>
          <w:rFonts w:ascii="宋体" w:hAnsi="宋体"/>
          <w:szCs w:val="28"/>
          <w:lang w:eastAsia="zh-CN"/>
        </w:rPr>
        <w:t>附件A：</w:t>
      </w:r>
      <w:r>
        <w:rPr>
          <w:rFonts w:hint="eastAsia" w:ascii="宋体" w:hAnsi="宋体"/>
          <w:szCs w:val="28"/>
          <w:lang w:val="en-US" w:eastAsia="zh-CN"/>
        </w:rPr>
        <w:t>经评审的最低投标价法</w:t>
      </w:r>
      <w:r>
        <w:rPr>
          <w:rFonts w:ascii="宋体" w:hAnsi="宋体"/>
          <w:szCs w:val="28"/>
          <w:lang w:eastAsia="zh-CN"/>
        </w:rPr>
        <w:t>否决投标情况一览表</w:t>
      </w:r>
      <w:r>
        <w:tab/>
      </w:r>
      <w:r>
        <w:fldChar w:fldCharType="begin"/>
      </w:r>
      <w:r>
        <w:instrText xml:space="preserve"> PAGEREF _Toc26198 \h </w:instrText>
      </w:r>
      <w:r>
        <w:fldChar w:fldCharType="separate"/>
      </w:r>
      <w:r>
        <w:t>33</w:t>
      </w:r>
      <w:r>
        <w:fldChar w:fldCharType="end"/>
      </w:r>
      <w:r>
        <w:fldChar w:fldCharType="end"/>
      </w:r>
    </w:p>
    <w:p>
      <w:pPr>
        <w:pStyle w:val="16"/>
        <w:tabs>
          <w:tab w:val="right" w:leader="dot" w:pos="9467"/>
        </w:tabs>
      </w:pPr>
      <w:r>
        <w:fldChar w:fldCharType="begin"/>
      </w:r>
      <w:r>
        <w:instrText xml:space="preserve"> HYPERLINK \l _Toc24676 </w:instrText>
      </w:r>
      <w:r>
        <w:fldChar w:fldCharType="separate"/>
      </w:r>
      <w:r>
        <w:rPr>
          <w:rFonts w:hint="eastAsia" w:ascii="宋体" w:hAnsi="宋体"/>
        </w:rPr>
        <w:t>第四章 合同条款及格式</w:t>
      </w:r>
      <w:r>
        <w:tab/>
      </w:r>
      <w:r>
        <w:fldChar w:fldCharType="begin"/>
      </w:r>
      <w:r>
        <w:instrText xml:space="preserve"> PAGEREF _Toc24676 \h </w:instrText>
      </w:r>
      <w:r>
        <w:fldChar w:fldCharType="separate"/>
      </w:r>
      <w:r>
        <w:t>35</w:t>
      </w:r>
      <w:r>
        <w:fldChar w:fldCharType="end"/>
      </w:r>
      <w:r>
        <w:fldChar w:fldCharType="end"/>
      </w:r>
    </w:p>
    <w:p>
      <w:pPr>
        <w:pStyle w:val="10"/>
        <w:tabs>
          <w:tab w:val="right" w:leader="dot" w:pos="9467"/>
        </w:tabs>
      </w:pPr>
      <w:r>
        <w:fldChar w:fldCharType="begin"/>
      </w:r>
      <w:r>
        <w:instrText xml:space="preserve"> HYPERLINK \l _Toc7966 </w:instrText>
      </w:r>
      <w:r>
        <w:fldChar w:fldCharType="separate"/>
      </w:r>
      <w:r>
        <w:rPr>
          <w:rFonts w:hint="eastAsia" w:ascii="Times New Roman" w:hAnsi="Times New Roman" w:eastAsia="黑体"/>
          <w:szCs w:val="32"/>
          <w:lang w:val="en-US" w:eastAsia="zh-CN"/>
        </w:rPr>
        <w:t>第一条</w:t>
      </w:r>
      <w:r>
        <w:rPr>
          <w:rFonts w:ascii="Times New Roman" w:hAnsi="Times New Roman" w:eastAsia="黑体"/>
          <w:szCs w:val="32"/>
        </w:rPr>
        <w:t xml:space="preserve"> </w:t>
      </w:r>
      <w:r>
        <w:rPr>
          <w:rFonts w:hint="eastAsia" w:ascii="Times New Roman" w:hAnsi="Times New Roman" w:eastAsia="黑体"/>
          <w:szCs w:val="32"/>
          <w:lang w:val="en-US" w:eastAsia="zh-CN"/>
        </w:rPr>
        <w:t>项目</w:t>
      </w:r>
      <w:r>
        <w:rPr>
          <w:rFonts w:ascii="Times New Roman" w:hAnsi="Times New Roman" w:eastAsia="黑体"/>
          <w:szCs w:val="32"/>
        </w:rPr>
        <w:t>概况</w:t>
      </w:r>
      <w:r>
        <w:tab/>
      </w:r>
      <w:r>
        <w:fldChar w:fldCharType="begin"/>
      </w:r>
      <w:r>
        <w:instrText xml:space="preserve"> PAGEREF _Toc7966 \h </w:instrText>
      </w:r>
      <w:r>
        <w:fldChar w:fldCharType="separate"/>
      </w:r>
      <w:r>
        <w:t>37</w:t>
      </w:r>
      <w:r>
        <w:fldChar w:fldCharType="end"/>
      </w:r>
      <w:r>
        <w:fldChar w:fldCharType="end"/>
      </w:r>
    </w:p>
    <w:p>
      <w:pPr>
        <w:pStyle w:val="10"/>
        <w:tabs>
          <w:tab w:val="right" w:leader="dot" w:pos="9467"/>
        </w:tabs>
      </w:pPr>
      <w:r>
        <w:fldChar w:fldCharType="begin"/>
      </w:r>
      <w:r>
        <w:instrText xml:space="preserve"> HYPERLINK \l _Toc6321 </w:instrText>
      </w:r>
      <w:r>
        <w:fldChar w:fldCharType="separate"/>
      </w:r>
      <w:r>
        <w:rPr>
          <w:rFonts w:hint="eastAsia" w:ascii="Times New Roman" w:hAnsi="Times New Roman" w:eastAsia="黑体"/>
          <w:szCs w:val="32"/>
          <w:lang w:val="en-US" w:eastAsia="zh-CN"/>
        </w:rPr>
        <w:t>第二条 合同工期</w:t>
      </w:r>
      <w:r>
        <w:tab/>
      </w:r>
      <w:r>
        <w:fldChar w:fldCharType="begin"/>
      </w:r>
      <w:r>
        <w:instrText xml:space="preserve"> PAGEREF _Toc6321 \h </w:instrText>
      </w:r>
      <w:r>
        <w:fldChar w:fldCharType="separate"/>
      </w:r>
      <w:r>
        <w:t>37</w:t>
      </w:r>
      <w:r>
        <w:fldChar w:fldCharType="end"/>
      </w:r>
      <w:r>
        <w:fldChar w:fldCharType="end"/>
      </w:r>
    </w:p>
    <w:p>
      <w:pPr>
        <w:pStyle w:val="10"/>
        <w:tabs>
          <w:tab w:val="right" w:leader="dot" w:pos="9467"/>
        </w:tabs>
      </w:pPr>
      <w:r>
        <w:fldChar w:fldCharType="begin"/>
      </w:r>
      <w:r>
        <w:instrText xml:space="preserve"> HYPERLINK \l _Toc5473 </w:instrText>
      </w:r>
      <w:r>
        <w:fldChar w:fldCharType="separate"/>
      </w:r>
      <w:r>
        <w:rPr>
          <w:rFonts w:hint="eastAsia" w:ascii="Times New Roman" w:hAnsi="Times New Roman" w:eastAsia="黑体"/>
          <w:szCs w:val="32"/>
          <w:lang w:val="en-US" w:eastAsia="zh-CN"/>
        </w:rPr>
        <w:t>第三条 质量标准</w:t>
      </w:r>
      <w:r>
        <w:tab/>
      </w:r>
      <w:r>
        <w:fldChar w:fldCharType="begin"/>
      </w:r>
      <w:r>
        <w:instrText xml:space="preserve"> PAGEREF _Toc5473 \h </w:instrText>
      </w:r>
      <w:r>
        <w:fldChar w:fldCharType="separate"/>
      </w:r>
      <w:r>
        <w:t>38</w:t>
      </w:r>
      <w:r>
        <w:fldChar w:fldCharType="end"/>
      </w:r>
      <w:r>
        <w:fldChar w:fldCharType="end"/>
      </w:r>
    </w:p>
    <w:p>
      <w:pPr>
        <w:pStyle w:val="10"/>
        <w:tabs>
          <w:tab w:val="right" w:leader="dot" w:pos="9467"/>
        </w:tabs>
      </w:pPr>
      <w:r>
        <w:fldChar w:fldCharType="begin"/>
      </w:r>
      <w:r>
        <w:instrText xml:space="preserve"> HYPERLINK \l _Toc779 </w:instrText>
      </w:r>
      <w:r>
        <w:fldChar w:fldCharType="separate"/>
      </w:r>
      <w:r>
        <w:rPr>
          <w:rFonts w:hint="eastAsia" w:ascii="Times New Roman" w:hAnsi="Times New Roman" w:eastAsia="黑体"/>
          <w:szCs w:val="32"/>
          <w:lang w:val="en-US" w:eastAsia="zh-CN"/>
        </w:rPr>
        <w:t>第四条 签约合同价款及合同价格形式</w:t>
      </w:r>
      <w:r>
        <w:tab/>
      </w:r>
      <w:r>
        <w:fldChar w:fldCharType="begin"/>
      </w:r>
      <w:r>
        <w:instrText xml:space="preserve"> PAGEREF _Toc779 \h </w:instrText>
      </w:r>
      <w:r>
        <w:fldChar w:fldCharType="separate"/>
      </w:r>
      <w:r>
        <w:t>38</w:t>
      </w:r>
      <w:r>
        <w:fldChar w:fldCharType="end"/>
      </w:r>
      <w:r>
        <w:fldChar w:fldCharType="end"/>
      </w:r>
    </w:p>
    <w:p>
      <w:pPr>
        <w:pStyle w:val="10"/>
        <w:tabs>
          <w:tab w:val="right" w:leader="dot" w:pos="9467"/>
        </w:tabs>
      </w:pPr>
      <w:r>
        <w:fldChar w:fldCharType="begin"/>
      </w:r>
      <w:r>
        <w:instrText xml:space="preserve"> HYPERLINK \l _Toc28431 </w:instrText>
      </w:r>
      <w:r>
        <w:fldChar w:fldCharType="separate"/>
      </w:r>
      <w:r>
        <w:rPr>
          <w:rFonts w:hint="eastAsia" w:ascii="Times New Roman" w:hAnsi="Times New Roman" w:eastAsia="黑体"/>
          <w:szCs w:val="32"/>
          <w:lang w:val="en-US" w:eastAsia="zh-CN"/>
        </w:rPr>
        <w:t>第五条 合同文件构成</w:t>
      </w:r>
      <w:r>
        <w:tab/>
      </w:r>
      <w:r>
        <w:fldChar w:fldCharType="begin"/>
      </w:r>
      <w:r>
        <w:instrText xml:space="preserve"> PAGEREF _Toc28431 \h </w:instrText>
      </w:r>
      <w:r>
        <w:fldChar w:fldCharType="separate"/>
      </w:r>
      <w:r>
        <w:t>39</w:t>
      </w:r>
      <w:r>
        <w:fldChar w:fldCharType="end"/>
      </w:r>
      <w:r>
        <w:fldChar w:fldCharType="end"/>
      </w:r>
    </w:p>
    <w:p>
      <w:pPr>
        <w:pStyle w:val="10"/>
        <w:tabs>
          <w:tab w:val="right" w:leader="dot" w:pos="9467"/>
        </w:tabs>
      </w:pPr>
      <w:r>
        <w:fldChar w:fldCharType="begin"/>
      </w:r>
      <w:r>
        <w:instrText xml:space="preserve"> HYPERLINK \l _Toc11119 </w:instrText>
      </w:r>
      <w:r>
        <w:fldChar w:fldCharType="separate"/>
      </w:r>
      <w:r>
        <w:rPr>
          <w:rFonts w:hint="eastAsia" w:ascii="Times New Roman" w:hAnsi="Times New Roman" w:eastAsia="黑体"/>
          <w:szCs w:val="32"/>
          <w:lang w:val="en-US" w:eastAsia="zh-CN"/>
        </w:rPr>
        <w:t>第六条 适用的标准和规范</w:t>
      </w:r>
      <w:r>
        <w:tab/>
      </w:r>
      <w:r>
        <w:fldChar w:fldCharType="begin"/>
      </w:r>
      <w:r>
        <w:instrText xml:space="preserve"> PAGEREF _Toc11119 \h </w:instrText>
      </w:r>
      <w:r>
        <w:fldChar w:fldCharType="separate"/>
      </w:r>
      <w:r>
        <w:t>40</w:t>
      </w:r>
      <w:r>
        <w:fldChar w:fldCharType="end"/>
      </w:r>
      <w:r>
        <w:fldChar w:fldCharType="end"/>
      </w:r>
    </w:p>
    <w:p>
      <w:pPr>
        <w:pStyle w:val="10"/>
        <w:tabs>
          <w:tab w:val="right" w:leader="dot" w:pos="9467"/>
        </w:tabs>
      </w:pPr>
      <w:r>
        <w:fldChar w:fldCharType="begin"/>
      </w:r>
      <w:r>
        <w:instrText xml:space="preserve"> HYPERLINK \l _Toc1440 </w:instrText>
      </w:r>
      <w:r>
        <w:fldChar w:fldCharType="separate"/>
      </w:r>
      <w:r>
        <w:rPr>
          <w:rFonts w:hint="eastAsia" w:ascii="Times New Roman" w:hAnsi="Times New Roman" w:eastAsia="黑体"/>
          <w:szCs w:val="32"/>
          <w:lang w:val="en-US" w:eastAsia="zh-CN"/>
        </w:rPr>
        <w:t>第七条 双方驻工地代表</w:t>
      </w:r>
      <w:r>
        <w:tab/>
      </w:r>
      <w:r>
        <w:fldChar w:fldCharType="begin"/>
      </w:r>
      <w:r>
        <w:instrText xml:space="preserve"> PAGEREF _Toc1440 \h </w:instrText>
      </w:r>
      <w:r>
        <w:fldChar w:fldCharType="separate"/>
      </w:r>
      <w:r>
        <w:t>40</w:t>
      </w:r>
      <w:r>
        <w:fldChar w:fldCharType="end"/>
      </w:r>
      <w:r>
        <w:fldChar w:fldCharType="end"/>
      </w:r>
    </w:p>
    <w:p>
      <w:pPr>
        <w:pStyle w:val="10"/>
        <w:tabs>
          <w:tab w:val="right" w:leader="dot" w:pos="9467"/>
        </w:tabs>
      </w:pPr>
      <w:r>
        <w:fldChar w:fldCharType="begin"/>
      </w:r>
      <w:r>
        <w:instrText xml:space="preserve"> HYPERLINK \l _Toc21595 </w:instrText>
      </w:r>
      <w:r>
        <w:fldChar w:fldCharType="separate"/>
      </w:r>
      <w:r>
        <w:rPr>
          <w:rFonts w:hint="eastAsia" w:ascii="Times New Roman" w:hAnsi="Times New Roman" w:eastAsia="黑体"/>
          <w:szCs w:val="32"/>
          <w:lang w:val="en-US" w:eastAsia="zh-CN"/>
        </w:rPr>
        <w:t>第八条 联络和送达</w:t>
      </w:r>
      <w:r>
        <w:tab/>
      </w:r>
      <w:r>
        <w:fldChar w:fldCharType="begin"/>
      </w:r>
      <w:r>
        <w:instrText xml:space="preserve"> PAGEREF _Toc21595 \h </w:instrText>
      </w:r>
      <w:r>
        <w:fldChar w:fldCharType="separate"/>
      </w:r>
      <w:r>
        <w:t>40</w:t>
      </w:r>
      <w:r>
        <w:fldChar w:fldCharType="end"/>
      </w:r>
      <w:r>
        <w:fldChar w:fldCharType="end"/>
      </w:r>
    </w:p>
    <w:p>
      <w:pPr>
        <w:pStyle w:val="10"/>
        <w:tabs>
          <w:tab w:val="right" w:leader="dot" w:pos="9467"/>
        </w:tabs>
      </w:pPr>
      <w:r>
        <w:fldChar w:fldCharType="begin"/>
      </w:r>
      <w:r>
        <w:instrText xml:space="preserve"> HYPERLINK \l _Toc321 </w:instrText>
      </w:r>
      <w:r>
        <w:fldChar w:fldCharType="separate"/>
      </w:r>
      <w:r>
        <w:rPr>
          <w:rFonts w:hint="eastAsia" w:ascii="Times New Roman" w:hAnsi="Times New Roman" w:eastAsia="黑体"/>
          <w:szCs w:val="32"/>
          <w:lang w:val="en-US" w:eastAsia="zh-CN"/>
        </w:rPr>
        <w:t>第九条 甲方的权利义务</w:t>
      </w:r>
      <w:r>
        <w:tab/>
      </w:r>
      <w:r>
        <w:fldChar w:fldCharType="begin"/>
      </w:r>
      <w:r>
        <w:instrText xml:space="preserve"> PAGEREF _Toc321 \h </w:instrText>
      </w:r>
      <w:r>
        <w:fldChar w:fldCharType="separate"/>
      </w:r>
      <w:r>
        <w:t>41</w:t>
      </w:r>
      <w:r>
        <w:fldChar w:fldCharType="end"/>
      </w:r>
      <w:r>
        <w:fldChar w:fldCharType="end"/>
      </w:r>
    </w:p>
    <w:p>
      <w:pPr>
        <w:pStyle w:val="10"/>
        <w:tabs>
          <w:tab w:val="right" w:leader="dot" w:pos="9467"/>
        </w:tabs>
      </w:pPr>
      <w:r>
        <w:fldChar w:fldCharType="begin"/>
      </w:r>
      <w:r>
        <w:instrText xml:space="preserve"> HYPERLINK \l _Toc23935 </w:instrText>
      </w:r>
      <w:r>
        <w:fldChar w:fldCharType="separate"/>
      </w:r>
      <w:r>
        <w:rPr>
          <w:rFonts w:hint="eastAsia" w:ascii="Times New Roman" w:hAnsi="Times New Roman" w:eastAsia="黑体"/>
          <w:szCs w:val="32"/>
          <w:lang w:val="en-US" w:eastAsia="zh-CN"/>
        </w:rPr>
        <w:t>第十条 乙方的权利义务</w:t>
      </w:r>
      <w:r>
        <w:tab/>
      </w:r>
      <w:r>
        <w:fldChar w:fldCharType="begin"/>
      </w:r>
      <w:r>
        <w:instrText xml:space="preserve"> PAGEREF _Toc23935 \h </w:instrText>
      </w:r>
      <w:r>
        <w:fldChar w:fldCharType="separate"/>
      </w:r>
      <w:r>
        <w:t>42</w:t>
      </w:r>
      <w:r>
        <w:fldChar w:fldCharType="end"/>
      </w:r>
      <w:r>
        <w:fldChar w:fldCharType="end"/>
      </w:r>
    </w:p>
    <w:p>
      <w:pPr>
        <w:pStyle w:val="10"/>
        <w:tabs>
          <w:tab w:val="right" w:leader="dot" w:pos="9467"/>
        </w:tabs>
      </w:pPr>
      <w:r>
        <w:fldChar w:fldCharType="begin"/>
      </w:r>
      <w:r>
        <w:instrText xml:space="preserve"> HYPERLINK \l _Toc21863 </w:instrText>
      </w:r>
      <w:r>
        <w:fldChar w:fldCharType="separate"/>
      </w:r>
      <w:r>
        <w:rPr>
          <w:rFonts w:hint="eastAsia" w:ascii="Times New Roman" w:hAnsi="Times New Roman" w:eastAsia="黑体"/>
          <w:szCs w:val="32"/>
          <w:lang w:val="en-US" w:eastAsia="zh-CN"/>
        </w:rPr>
        <w:t>第十一条 甲方的违约责任</w:t>
      </w:r>
      <w:r>
        <w:tab/>
      </w:r>
      <w:r>
        <w:fldChar w:fldCharType="begin"/>
      </w:r>
      <w:r>
        <w:instrText xml:space="preserve"> PAGEREF _Toc21863 \h </w:instrText>
      </w:r>
      <w:r>
        <w:fldChar w:fldCharType="separate"/>
      </w:r>
      <w:r>
        <w:t>45</w:t>
      </w:r>
      <w:r>
        <w:fldChar w:fldCharType="end"/>
      </w:r>
      <w:r>
        <w:fldChar w:fldCharType="end"/>
      </w:r>
    </w:p>
    <w:p>
      <w:pPr>
        <w:pStyle w:val="10"/>
        <w:tabs>
          <w:tab w:val="right" w:leader="dot" w:pos="9467"/>
        </w:tabs>
      </w:pPr>
      <w:r>
        <w:fldChar w:fldCharType="begin"/>
      </w:r>
      <w:r>
        <w:instrText xml:space="preserve"> HYPERLINK \l _Toc26482 </w:instrText>
      </w:r>
      <w:r>
        <w:fldChar w:fldCharType="separate"/>
      </w:r>
      <w:r>
        <w:rPr>
          <w:rFonts w:hint="eastAsia" w:ascii="Times New Roman" w:hAnsi="Times New Roman" w:eastAsia="黑体"/>
          <w:szCs w:val="32"/>
          <w:lang w:val="en-US" w:eastAsia="zh-CN"/>
        </w:rPr>
        <w:t>第十二条 乙方的违约责任</w:t>
      </w:r>
      <w:r>
        <w:tab/>
      </w:r>
      <w:r>
        <w:fldChar w:fldCharType="begin"/>
      </w:r>
      <w:r>
        <w:instrText xml:space="preserve"> PAGEREF _Toc26482 \h </w:instrText>
      </w:r>
      <w:r>
        <w:fldChar w:fldCharType="separate"/>
      </w:r>
      <w:r>
        <w:t>45</w:t>
      </w:r>
      <w:r>
        <w:fldChar w:fldCharType="end"/>
      </w:r>
      <w:r>
        <w:fldChar w:fldCharType="end"/>
      </w:r>
    </w:p>
    <w:p>
      <w:pPr>
        <w:pStyle w:val="10"/>
        <w:tabs>
          <w:tab w:val="right" w:leader="dot" w:pos="9467"/>
        </w:tabs>
      </w:pPr>
      <w:r>
        <w:fldChar w:fldCharType="begin"/>
      </w:r>
      <w:r>
        <w:instrText xml:space="preserve"> HYPERLINK \l _Toc9464 </w:instrText>
      </w:r>
      <w:r>
        <w:fldChar w:fldCharType="separate"/>
      </w:r>
      <w:r>
        <w:rPr>
          <w:rFonts w:hint="eastAsia" w:ascii="Times New Roman" w:hAnsi="Times New Roman" w:eastAsia="黑体"/>
          <w:szCs w:val="32"/>
          <w:lang w:val="en-US" w:eastAsia="zh-CN"/>
        </w:rPr>
        <w:t>第十三条 履约担保</w:t>
      </w:r>
      <w:r>
        <w:tab/>
      </w:r>
      <w:r>
        <w:fldChar w:fldCharType="begin"/>
      </w:r>
      <w:r>
        <w:instrText xml:space="preserve"> PAGEREF _Toc9464 \h </w:instrText>
      </w:r>
      <w:r>
        <w:fldChar w:fldCharType="separate"/>
      </w:r>
      <w:r>
        <w:t>46</w:t>
      </w:r>
      <w:r>
        <w:fldChar w:fldCharType="end"/>
      </w:r>
      <w:r>
        <w:fldChar w:fldCharType="end"/>
      </w:r>
    </w:p>
    <w:p>
      <w:pPr>
        <w:pStyle w:val="10"/>
        <w:tabs>
          <w:tab w:val="right" w:leader="dot" w:pos="9467"/>
        </w:tabs>
      </w:pPr>
      <w:r>
        <w:fldChar w:fldCharType="begin"/>
      </w:r>
      <w:r>
        <w:instrText xml:space="preserve"> HYPERLINK \l _Toc11943 </w:instrText>
      </w:r>
      <w:r>
        <w:fldChar w:fldCharType="separate"/>
      </w:r>
      <w:r>
        <w:rPr>
          <w:rFonts w:hint="eastAsia" w:ascii="Times New Roman" w:hAnsi="Times New Roman" w:eastAsia="黑体"/>
          <w:szCs w:val="32"/>
          <w:lang w:val="en-US" w:eastAsia="zh-CN"/>
        </w:rPr>
        <w:t>第十四条 支付方式及结算原则</w:t>
      </w:r>
      <w:r>
        <w:tab/>
      </w:r>
      <w:r>
        <w:fldChar w:fldCharType="begin"/>
      </w:r>
      <w:r>
        <w:instrText xml:space="preserve"> PAGEREF _Toc11943 \h </w:instrText>
      </w:r>
      <w:r>
        <w:fldChar w:fldCharType="separate"/>
      </w:r>
      <w:r>
        <w:t>47</w:t>
      </w:r>
      <w:r>
        <w:fldChar w:fldCharType="end"/>
      </w:r>
      <w:r>
        <w:fldChar w:fldCharType="end"/>
      </w:r>
    </w:p>
    <w:p>
      <w:pPr>
        <w:pStyle w:val="10"/>
        <w:tabs>
          <w:tab w:val="right" w:leader="dot" w:pos="9467"/>
        </w:tabs>
      </w:pPr>
      <w:r>
        <w:fldChar w:fldCharType="begin"/>
      </w:r>
      <w:r>
        <w:instrText xml:space="preserve"> HYPERLINK \l _Toc13131 </w:instrText>
      </w:r>
      <w:r>
        <w:fldChar w:fldCharType="separate"/>
      </w:r>
      <w:r>
        <w:rPr>
          <w:rFonts w:hint="eastAsia" w:ascii="Times New Roman" w:hAnsi="Times New Roman" w:eastAsia="黑体"/>
          <w:szCs w:val="32"/>
          <w:lang w:val="en-US" w:eastAsia="zh-CN"/>
        </w:rPr>
        <w:t>第十五条 工程变更</w:t>
      </w:r>
      <w:r>
        <w:tab/>
      </w:r>
      <w:r>
        <w:fldChar w:fldCharType="begin"/>
      </w:r>
      <w:r>
        <w:instrText xml:space="preserve"> PAGEREF _Toc13131 \h </w:instrText>
      </w:r>
      <w:r>
        <w:fldChar w:fldCharType="separate"/>
      </w:r>
      <w:r>
        <w:t>49</w:t>
      </w:r>
      <w:r>
        <w:fldChar w:fldCharType="end"/>
      </w:r>
      <w:r>
        <w:fldChar w:fldCharType="end"/>
      </w:r>
    </w:p>
    <w:p>
      <w:pPr>
        <w:pStyle w:val="10"/>
        <w:tabs>
          <w:tab w:val="right" w:leader="dot" w:pos="9467"/>
        </w:tabs>
      </w:pPr>
      <w:r>
        <w:fldChar w:fldCharType="begin"/>
      </w:r>
      <w:r>
        <w:instrText xml:space="preserve"> HYPERLINK \l _Toc18167 </w:instrText>
      </w:r>
      <w:r>
        <w:fldChar w:fldCharType="separate"/>
      </w:r>
      <w:r>
        <w:rPr>
          <w:rFonts w:hint="eastAsia" w:ascii="Times New Roman" w:hAnsi="Times New Roman" w:eastAsia="黑体"/>
          <w:szCs w:val="32"/>
          <w:lang w:val="en-US" w:eastAsia="zh-CN"/>
        </w:rPr>
        <w:t>第十六条 合同解除</w:t>
      </w:r>
      <w:r>
        <w:tab/>
      </w:r>
      <w:r>
        <w:fldChar w:fldCharType="begin"/>
      </w:r>
      <w:r>
        <w:instrText xml:space="preserve"> PAGEREF _Toc18167 \h </w:instrText>
      </w:r>
      <w:r>
        <w:fldChar w:fldCharType="separate"/>
      </w:r>
      <w:r>
        <w:t>49</w:t>
      </w:r>
      <w:r>
        <w:fldChar w:fldCharType="end"/>
      </w:r>
      <w:r>
        <w:fldChar w:fldCharType="end"/>
      </w:r>
    </w:p>
    <w:p>
      <w:pPr>
        <w:pStyle w:val="10"/>
        <w:tabs>
          <w:tab w:val="right" w:leader="dot" w:pos="9467"/>
        </w:tabs>
      </w:pPr>
      <w:r>
        <w:fldChar w:fldCharType="begin"/>
      </w:r>
      <w:r>
        <w:instrText xml:space="preserve"> HYPERLINK \l _Toc21269 </w:instrText>
      </w:r>
      <w:r>
        <w:fldChar w:fldCharType="separate"/>
      </w:r>
      <w:r>
        <w:rPr>
          <w:rFonts w:hint="eastAsia" w:ascii="Times New Roman" w:hAnsi="Times New Roman" w:eastAsia="黑体"/>
          <w:szCs w:val="32"/>
          <w:lang w:val="en-US" w:eastAsia="zh-CN"/>
        </w:rPr>
        <w:t>第十七条 争议解决</w:t>
      </w:r>
      <w:r>
        <w:tab/>
      </w:r>
      <w:r>
        <w:fldChar w:fldCharType="begin"/>
      </w:r>
      <w:r>
        <w:instrText xml:space="preserve"> PAGEREF _Toc21269 \h </w:instrText>
      </w:r>
      <w:r>
        <w:fldChar w:fldCharType="separate"/>
      </w:r>
      <w:r>
        <w:t>50</w:t>
      </w:r>
      <w:r>
        <w:fldChar w:fldCharType="end"/>
      </w:r>
      <w:r>
        <w:fldChar w:fldCharType="end"/>
      </w:r>
    </w:p>
    <w:p>
      <w:pPr>
        <w:pStyle w:val="10"/>
        <w:tabs>
          <w:tab w:val="right" w:leader="dot" w:pos="9467"/>
        </w:tabs>
      </w:pPr>
      <w:r>
        <w:fldChar w:fldCharType="begin"/>
      </w:r>
      <w:r>
        <w:instrText xml:space="preserve"> HYPERLINK \l _Toc5512 </w:instrText>
      </w:r>
      <w:r>
        <w:fldChar w:fldCharType="separate"/>
      </w:r>
      <w:r>
        <w:rPr>
          <w:rFonts w:hint="eastAsia" w:ascii="Times New Roman" w:hAnsi="Times New Roman" w:eastAsia="黑体"/>
          <w:szCs w:val="32"/>
          <w:lang w:val="en-US" w:eastAsia="zh-CN"/>
        </w:rPr>
        <w:t>第十八条 不可抗力</w:t>
      </w:r>
      <w:r>
        <w:tab/>
      </w:r>
      <w:r>
        <w:fldChar w:fldCharType="begin"/>
      </w:r>
      <w:r>
        <w:instrText xml:space="preserve"> PAGEREF _Toc5512 \h </w:instrText>
      </w:r>
      <w:r>
        <w:fldChar w:fldCharType="separate"/>
      </w:r>
      <w:r>
        <w:t>50</w:t>
      </w:r>
      <w:r>
        <w:fldChar w:fldCharType="end"/>
      </w:r>
      <w:r>
        <w:fldChar w:fldCharType="end"/>
      </w:r>
    </w:p>
    <w:p>
      <w:pPr>
        <w:pStyle w:val="10"/>
        <w:tabs>
          <w:tab w:val="right" w:leader="dot" w:pos="9467"/>
        </w:tabs>
      </w:pPr>
      <w:r>
        <w:fldChar w:fldCharType="begin"/>
      </w:r>
      <w:r>
        <w:instrText xml:space="preserve"> HYPERLINK \l _Toc9530 </w:instrText>
      </w:r>
      <w:r>
        <w:fldChar w:fldCharType="separate"/>
      </w:r>
      <w:r>
        <w:rPr>
          <w:rFonts w:hint="eastAsia" w:ascii="Times New Roman" w:hAnsi="Times New Roman" w:eastAsia="黑体"/>
          <w:szCs w:val="32"/>
          <w:lang w:val="en-US" w:eastAsia="zh-CN"/>
        </w:rPr>
        <w:t>第十九条  其他约定</w:t>
      </w:r>
      <w:r>
        <w:tab/>
      </w:r>
      <w:r>
        <w:fldChar w:fldCharType="begin"/>
      </w:r>
      <w:r>
        <w:instrText xml:space="preserve"> PAGEREF _Toc9530 \h </w:instrText>
      </w:r>
      <w:r>
        <w:fldChar w:fldCharType="separate"/>
      </w:r>
      <w:r>
        <w:t>51</w:t>
      </w:r>
      <w:r>
        <w:fldChar w:fldCharType="end"/>
      </w:r>
      <w:r>
        <w:fldChar w:fldCharType="end"/>
      </w:r>
    </w:p>
    <w:p>
      <w:pPr>
        <w:pStyle w:val="10"/>
        <w:tabs>
          <w:tab w:val="right" w:leader="dot" w:pos="9467"/>
        </w:tabs>
      </w:pPr>
      <w:r>
        <w:fldChar w:fldCharType="begin"/>
      </w:r>
      <w:r>
        <w:instrText xml:space="preserve"> HYPERLINK \l _Toc3760 </w:instrText>
      </w:r>
      <w:r>
        <w:fldChar w:fldCharType="separate"/>
      </w:r>
      <w:r>
        <w:rPr>
          <w:rFonts w:hint="eastAsia" w:ascii="Times New Roman" w:hAnsi="Times New Roman" w:eastAsia="黑体"/>
          <w:szCs w:val="32"/>
          <w:lang w:val="en-US" w:eastAsia="zh-CN"/>
        </w:rPr>
        <w:t>第二十条  附则</w:t>
      </w:r>
      <w:r>
        <w:tab/>
      </w:r>
      <w:r>
        <w:fldChar w:fldCharType="begin"/>
      </w:r>
      <w:r>
        <w:instrText xml:space="preserve"> PAGEREF _Toc3760 \h </w:instrText>
      </w:r>
      <w:r>
        <w:fldChar w:fldCharType="separate"/>
      </w:r>
      <w:r>
        <w:t>52</w:t>
      </w:r>
      <w:r>
        <w:fldChar w:fldCharType="end"/>
      </w:r>
      <w:r>
        <w:fldChar w:fldCharType="end"/>
      </w:r>
    </w:p>
    <w:p>
      <w:pPr>
        <w:pStyle w:val="10"/>
        <w:tabs>
          <w:tab w:val="right" w:leader="dot" w:pos="9467"/>
        </w:tabs>
      </w:pPr>
      <w:r>
        <w:fldChar w:fldCharType="begin"/>
      </w:r>
      <w:r>
        <w:instrText xml:space="preserve"> HYPERLINK \l _Toc28568 </w:instrText>
      </w:r>
      <w:r>
        <w:fldChar w:fldCharType="separate"/>
      </w:r>
      <w:r>
        <w:rPr>
          <w:rFonts w:hint="eastAsia" w:ascii="黑体" w:hAnsi="黑体" w:eastAsia="黑体" w:cs="黑体"/>
          <w:bCs/>
          <w:szCs w:val="36"/>
          <w:lang w:val="en-US" w:eastAsia="zh-CN"/>
        </w:rPr>
        <w:t>附件一：</w:t>
      </w:r>
      <w:r>
        <w:rPr>
          <w:rFonts w:hint="eastAsia" w:ascii="黑体" w:hAnsi="黑体" w:eastAsia="黑体" w:cs="黑体"/>
          <w:bCs/>
          <w:szCs w:val="36"/>
        </w:rPr>
        <w:t>安全环保文明施工管理协议书</w:t>
      </w:r>
      <w:r>
        <w:tab/>
      </w:r>
      <w:r>
        <w:fldChar w:fldCharType="begin"/>
      </w:r>
      <w:r>
        <w:instrText xml:space="preserve"> PAGEREF _Toc28568 \h </w:instrText>
      </w:r>
      <w:r>
        <w:fldChar w:fldCharType="separate"/>
      </w:r>
      <w:r>
        <w:t>54</w:t>
      </w:r>
      <w:r>
        <w:fldChar w:fldCharType="end"/>
      </w:r>
      <w:r>
        <w:fldChar w:fldCharType="end"/>
      </w:r>
    </w:p>
    <w:p>
      <w:pPr>
        <w:pStyle w:val="10"/>
        <w:tabs>
          <w:tab w:val="right" w:leader="dot" w:pos="9467"/>
        </w:tabs>
      </w:pPr>
      <w:r>
        <w:fldChar w:fldCharType="begin"/>
      </w:r>
      <w:r>
        <w:instrText xml:space="preserve"> HYPERLINK \l _Toc54 </w:instrText>
      </w:r>
      <w:r>
        <w:fldChar w:fldCharType="separate"/>
      </w:r>
      <w:r>
        <w:rPr>
          <w:rFonts w:hint="eastAsia"/>
          <w:lang w:val="en-US" w:eastAsia="zh-CN"/>
        </w:rPr>
        <w:t>附件二：</w:t>
      </w:r>
      <w:r>
        <w:rPr>
          <w:rFonts w:hint="default"/>
        </w:rPr>
        <w:t>廉洁责任书</w:t>
      </w:r>
      <w:r>
        <w:tab/>
      </w:r>
      <w:r>
        <w:fldChar w:fldCharType="begin"/>
      </w:r>
      <w:r>
        <w:instrText xml:space="preserve"> PAGEREF _Toc54 \h </w:instrText>
      </w:r>
      <w:r>
        <w:fldChar w:fldCharType="separate"/>
      </w:r>
      <w:r>
        <w:t>61</w:t>
      </w:r>
      <w:r>
        <w:fldChar w:fldCharType="end"/>
      </w:r>
      <w:r>
        <w:fldChar w:fldCharType="end"/>
      </w:r>
    </w:p>
    <w:p>
      <w:pPr>
        <w:pStyle w:val="10"/>
        <w:tabs>
          <w:tab w:val="right" w:leader="dot" w:pos="9467"/>
        </w:tabs>
      </w:pPr>
      <w:r>
        <w:fldChar w:fldCharType="begin"/>
      </w:r>
      <w:r>
        <w:instrText xml:space="preserve"> HYPERLINK \l _Toc21198 </w:instrText>
      </w:r>
      <w:r>
        <w:fldChar w:fldCharType="separate"/>
      </w:r>
      <w:r>
        <w:rPr>
          <w:rFonts w:hint="eastAsia" w:ascii="黑体" w:hAnsi="黑体" w:eastAsia="黑体" w:cs="黑体"/>
          <w:kern w:val="0"/>
          <w:szCs w:val="36"/>
          <w:lang w:val="en-US" w:eastAsia="zh-CN" w:bidi="ar"/>
        </w:rPr>
        <w:t>附件三：</w:t>
      </w:r>
      <w:r>
        <w:rPr>
          <w:rFonts w:hint="eastAsia" w:ascii="黑体" w:hAnsi="黑体" w:eastAsia="黑体" w:cs="黑体"/>
          <w:kern w:val="0"/>
          <w:szCs w:val="36"/>
          <w:lang w:bidi="ar"/>
        </w:rPr>
        <w:t>工程质量保修书</w:t>
      </w:r>
      <w:r>
        <w:tab/>
      </w:r>
      <w:r>
        <w:fldChar w:fldCharType="begin"/>
      </w:r>
      <w:r>
        <w:instrText xml:space="preserve"> PAGEREF _Toc21198 \h </w:instrText>
      </w:r>
      <w:r>
        <w:fldChar w:fldCharType="separate"/>
      </w:r>
      <w:r>
        <w:t>64</w:t>
      </w:r>
      <w:r>
        <w:fldChar w:fldCharType="end"/>
      </w:r>
      <w:r>
        <w:fldChar w:fldCharType="end"/>
      </w:r>
    </w:p>
    <w:p>
      <w:pPr>
        <w:pStyle w:val="10"/>
        <w:tabs>
          <w:tab w:val="right" w:leader="dot" w:pos="9467"/>
        </w:tabs>
      </w:pPr>
      <w:r>
        <w:fldChar w:fldCharType="begin"/>
      </w:r>
      <w:r>
        <w:instrText xml:space="preserve"> HYPERLINK \l _Toc12897 </w:instrText>
      </w:r>
      <w:r>
        <w:fldChar w:fldCharType="separate"/>
      </w:r>
      <w:r>
        <w:rPr>
          <w:rFonts w:hint="eastAsia" w:ascii="黑体" w:hAnsi="黑体" w:eastAsia="黑体" w:cs="黑体"/>
          <w:kern w:val="0"/>
          <w:szCs w:val="36"/>
          <w:lang w:bidi="ar"/>
        </w:rPr>
        <w:t>附件</w:t>
      </w:r>
      <w:r>
        <w:rPr>
          <w:rFonts w:hint="eastAsia" w:ascii="黑体" w:hAnsi="黑体" w:eastAsia="黑体" w:cs="黑体"/>
          <w:kern w:val="0"/>
          <w:szCs w:val="36"/>
          <w:lang w:val="en-US" w:eastAsia="zh-CN" w:bidi="ar"/>
        </w:rPr>
        <w:t>四：</w:t>
      </w:r>
      <w:r>
        <w:rPr>
          <w:rFonts w:hint="eastAsia" w:ascii="黑体" w:hAnsi="黑体" w:eastAsia="黑体" w:cs="黑体"/>
          <w:kern w:val="0"/>
          <w:szCs w:val="36"/>
          <w:lang w:bidi="ar"/>
        </w:rPr>
        <w:t>保障建筑工人工资支付协议</w:t>
      </w:r>
      <w:r>
        <w:tab/>
      </w:r>
      <w:r>
        <w:fldChar w:fldCharType="begin"/>
      </w:r>
      <w:r>
        <w:instrText xml:space="preserve"> PAGEREF _Toc12897 \h </w:instrText>
      </w:r>
      <w:r>
        <w:fldChar w:fldCharType="separate"/>
      </w:r>
      <w:r>
        <w:t>67</w:t>
      </w:r>
      <w:r>
        <w:fldChar w:fldCharType="end"/>
      </w:r>
      <w:r>
        <w:fldChar w:fldCharType="end"/>
      </w:r>
    </w:p>
    <w:p>
      <w:pPr>
        <w:pStyle w:val="16"/>
        <w:tabs>
          <w:tab w:val="right" w:leader="dot" w:pos="9467"/>
        </w:tabs>
      </w:pPr>
      <w:r>
        <w:fldChar w:fldCharType="begin"/>
      </w:r>
      <w:r>
        <w:instrText xml:space="preserve"> HYPERLINK \l _Toc8069 </w:instrText>
      </w:r>
      <w:r>
        <w:fldChar w:fldCharType="separate"/>
      </w:r>
      <w:r>
        <w:rPr>
          <w:rFonts w:hint="eastAsia" w:ascii="宋体" w:hAnsi="宋体"/>
        </w:rPr>
        <w:t xml:space="preserve">第五章  </w:t>
      </w:r>
      <w:r>
        <w:rPr>
          <w:rFonts w:hint="eastAsia" w:ascii="宋体" w:hAnsi="宋体"/>
          <w:lang w:val="en-US" w:eastAsia="zh-CN"/>
        </w:rPr>
        <w:t>工程量清单</w:t>
      </w:r>
      <w:r>
        <w:tab/>
      </w:r>
      <w:r>
        <w:fldChar w:fldCharType="begin"/>
      </w:r>
      <w:r>
        <w:instrText xml:space="preserve"> PAGEREF _Toc8069 \h </w:instrText>
      </w:r>
      <w:r>
        <w:fldChar w:fldCharType="separate"/>
      </w:r>
      <w:r>
        <w:t>69</w:t>
      </w:r>
      <w:r>
        <w:fldChar w:fldCharType="end"/>
      </w:r>
      <w:r>
        <w:fldChar w:fldCharType="end"/>
      </w:r>
    </w:p>
    <w:p>
      <w:pPr>
        <w:pStyle w:val="13"/>
        <w:tabs>
          <w:tab w:val="right" w:leader="dot" w:pos="9467"/>
        </w:tabs>
      </w:pPr>
      <w:r>
        <w:fldChar w:fldCharType="begin"/>
      </w:r>
      <w:r>
        <w:instrText xml:space="preserve"> HYPERLINK \l _Toc16050 </w:instrText>
      </w:r>
      <w:r>
        <w:fldChar w:fldCharType="separate"/>
      </w:r>
      <w:r>
        <w:rPr>
          <w:rFonts w:ascii="宋体" w:hAnsi="宋体"/>
          <w:szCs w:val="52"/>
        </w:rPr>
        <w:t>第 二 卷</w:t>
      </w:r>
      <w:r>
        <w:tab/>
      </w:r>
      <w:r>
        <w:fldChar w:fldCharType="begin"/>
      </w:r>
      <w:r>
        <w:instrText xml:space="preserve"> PAGEREF _Toc16050 \h </w:instrText>
      </w:r>
      <w:r>
        <w:fldChar w:fldCharType="separate"/>
      </w:r>
      <w:r>
        <w:t>70</w:t>
      </w:r>
      <w:r>
        <w:fldChar w:fldCharType="end"/>
      </w:r>
      <w:r>
        <w:fldChar w:fldCharType="end"/>
      </w:r>
    </w:p>
    <w:p>
      <w:pPr>
        <w:pStyle w:val="16"/>
        <w:tabs>
          <w:tab w:val="right" w:leader="dot" w:pos="9467"/>
        </w:tabs>
      </w:pPr>
      <w:r>
        <w:fldChar w:fldCharType="begin"/>
      </w:r>
      <w:r>
        <w:instrText xml:space="preserve"> HYPERLINK \l _Toc20175 </w:instrText>
      </w:r>
      <w:r>
        <w:fldChar w:fldCharType="separate"/>
      </w:r>
      <w:r>
        <w:rPr>
          <w:rFonts w:hint="eastAsia" w:ascii="宋体" w:hAnsi="宋体"/>
        </w:rPr>
        <w:t>第</w:t>
      </w:r>
      <w:r>
        <w:rPr>
          <w:rFonts w:hint="eastAsia" w:ascii="宋体" w:hAnsi="宋体"/>
          <w:lang w:val="en-US" w:eastAsia="zh-CN"/>
        </w:rPr>
        <w:t>六</w:t>
      </w:r>
      <w:r>
        <w:rPr>
          <w:rFonts w:hint="eastAsia" w:ascii="宋体" w:hAnsi="宋体"/>
        </w:rPr>
        <w:t xml:space="preserve">章  </w:t>
      </w:r>
      <w:r>
        <w:rPr>
          <w:rFonts w:hint="eastAsia" w:ascii="宋体" w:hAnsi="宋体"/>
          <w:lang w:val="en-US" w:eastAsia="zh-CN"/>
        </w:rPr>
        <w:t>图纸及甲供材料清单</w:t>
      </w:r>
      <w:r>
        <w:tab/>
      </w:r>
      <w:r>
        <w:fldChar w:fldCharType="begin"/>
      </w:r>
      <w:r>
        <w:instrText xml:space="preserve"> PAGEREF _Toc20175 \h </w:instrText>
      </w:r>
      <w:r>
        <w:fldChar w:fldCharType="separate"/>
      </w:r>
      <w:r>
        <w:t>71</w:t>
      </w:r>
      <w:r>
        <w:fldChar w:fldCharType="end"/>
      </w:r>
      <w:r>
        <w:fldChar w:fldCharType="end"/>
      </w:r>
    </w:p>
    <w:p>
      <w:pPr>
        <w:pStyle w:val="13"/>
        <w:tabs>
          <w:tab w:val="right" w:leader="dot" w:pos="9467"/>
        </w:tabs>
      </w:pPr>
      <w:r>
        <w:fldChar w:fldCharType="begin"/>
      </w:r>
      <w:r>
        <w:instrText xml:space="preserve"> HYPERLINK \l _Toc12607 </w:instrText>
      </w:r>
      <w:r>
        <w:fldChar w:fldCharType="separate"/>
      </w:r>
      <w:r>
        <w:rPr>
          <w:rFonts w:hint="eastAsia" w:ascii="宋体" w:hAnsi="宋体"/>
          <w:szCs w:val="52"/>
        </w:rPr>
        <w:t>第 三 卷</w:t>
      </w:r>
      <w:r>
        <w:tab/>
      </w:r>
      <w:r>
        <w:fldChar w:fldCharType="begin"/>
      </w:r>
      <w:r>
        <w:instrText xml:space="preserve"> PAGEREF _Toc12607 \h </w:instrText>
      </w:r>
      <w:r>
        <w:fldChar w:fldCharType="separate"/>
      </w:r>
      <w:r>
        <w:t>72</w:t>
      </w:r>
      <w:r>
        <w:fldChar w:fldCharType="end"/>
      </w:r>
      <w:r>
        <w:fldChar w:fldCharType="end"/>
      </w:r>
    </w:p>
    <w:p>
      <w:pPr>
        <w:pStyle w:val="16"/>
        <w:tabs>
          <w:tab w:val="right" w:leader="dot" w:pos="9467"/>
        </w:tabs>
      </w:pPr>
      <w:r>
        <w:fldChar w:fldCharType="begin"/>
      </w:r>
      <w:r>
        <w:instrText xml:space="preserve"> HYPERLINK \l _Toc32394 </w:instrText>
      </w:r>
      <w:r>
        <w:fldChar w:fldCharType="separate"/>
      </w:r>
      <w:r>
        <w:rPr>
          <w:rFonts w:hint="eastAsia" w:ascii="宋体" w:hAnsi="宋体"/>
        </w:rPr>
        <w:t>第</w:t>
      </w:r>
      <w:r>
        <w:rPr>
          <w:rFonts w:hint="eastAsia" w:ascii="宋体" w:hAnsi="宋体"/>
          <w:lang w:val="en-US" w:eastAsia="zh-CN"/>
        </w:rPr>
        <w:t>七</w:t>
      </w:r>
      <w:r>
        <w:rPr>
          <w:rFonts w:hint="eastAsia" w:ascii="宋体" w:hAnsi="宋体"/>
        </w:rPr>
        <w:t>章  投标文件格式</w:t>
      </w:r>
      <w:r>
        <w:tab/>
      </w:r>
      <w:r>
        <w:fldChar w:fldCharType="begin"/>
      </w:r>
      <w:r>
        <w:instrText xml:space="preserve"> PAGEREF _Toc32394 \h </w:instrText>
      </w:r>
      <w:r>
        <w:fldChar w:fldCharType="separate"/>
      </w:r>
      <w:r>
        <w:t>73</w:t>
      </w:r>
      <w:r>
        <w:fldChar w:fldCharType="end"/>
      </w:r>
      <w:r>
        <w:fldChar w:fldCharType="end"/>
      </w:r>
    </w:p>
    <w:p>
      <w:pPr>
        <w:pStyle w:val="10"/>
        <w:tabs>
          <w:tab w:val="right" w:leader="dot" w:pos="9467"/>
        </w:tabs>
      </w:pPr>
      <w:r>
        <w:fldChar w:fldCharType="begin"/>
      </w:r>
      <w:r>
        <w:instrText xml:space="preserve"> HYPERLINK \l _Toc29187 </w:instrText>
      </w:r>
      <w:r>
        <w:fldChar w:fldCharType="separate"/>
      </w:r>
      <w:r>
        <w:rPr>
          <w:rFonts w:hint="eastAsia" w:ascii="宋体" w:hAnsi="宋体"/>
          <w:bCs w:val="0"/>
          <w:szCs w:val="44"/>
        </w:rPr>
        <w:t>一、投标函部分</w:t>
      </w:r>
      <w:r>
        <w:tab/>
      </w:r>
      <w:r>
        <w:fldChar w:fldCharType="begin"/>
      </w:r>
      <w:r>
        <w:instrText xml:space="preserve"> PAGEREF _Toc29187 \h </w:instrText>
      </w:r>
      <w:r>
        <w:fldChar w:fldCharType="separate"/>
      </w:r>
      <w:r>
        <w:t>75</w:t>
      </w:r>
      <w:r>
        <w:fldChar w:fldCharType="end"/>
      </w:r>
      <w:r>
        <w:fldChar w:fldCharType="end"/>
      </w:r>
    </w:p>
    <w:p>
      <w:pPr>
        <w:pStyle w:val="14"/>
        <w:tabs>
          <w:tab w:val="right" w:leader="dot" w:pos="9467"/>
        </w:tabs>
      </w:pPr>
      <w:r>
        <w:fldChar w:fldCharType="begin"/>
      </w:r>
      <w:r>
        <w:instrText xml:space="preserve"> HYPERLINK \l _Toc6648 </w:instrText>
      </w:r>
      <w:r>
        <w:fldChar w:fldCharType="separate"/>
      </w:r>
      <w:r>
        <w:rPr>
          <w:rFonts w:hint="eastAsia" w:ascii="宋体" w:hAnsi="宋体"/>
          <w:bCs/>
          <w:snapToGrid w:val="0"/>
          <w:kern w:val="0"/>
          <w:szCs w:val="32"/>
        </w:rPr>
        <w:t>（一）投标函</w:t>
      </w:r>
      <w:r>
        <w:tab/>
      </w:r>
      <w:r>
        <w:fldChar w:fldCharType="begin"/>
      </w:r>
      <w:r>
        <w:instrText xml:space="preserve"> PAGEREF _Toc6648 \h </w:instrText>
      </w:r>
      <w:r>
        <w:fldChar w:fldCharType="separate"/>
      </w:r>
      <w:r>
        <w:t>78</w:t>
      </w:r>
      <w:r>
        <w:fldChar w:fldCharType="end"/>
      </w:r>
      <w:r>
        <w:fldChar w:fldCharType="end"/>
      </w:r>
    </w:p>
    <w:p>
      <w:pPr>
        <w:pStyle w:val="14"/>
        <w:tabs>
          <w:tab w:val="right" w:leader="dot" w:pos="9467"/>
        </w:tabs>
      </w:pPr>
      <w:r>
        <w:fldChar w:fldCharType="begin"/>
      </w:r>
      <w:r>
        <w:instrText xml:space="preserve"> HYPERLINK \l _Toc7591 </w:instrText>
      </w:r>
      <w:r>
        <w:fldChar w:fldCharType="separate"/>
      </w:r>
      <w:r>
        <w:rPr>
          <w:rFonts w:ascii="宋体" w:hAnsi="宋体"/>
          <w:bCs/>
          <w:snapToGrid w:val="0"/>
          <w:kern w:val="0"/>
          <w:szCs w:val="32"/>
        </w:rPr>
        <w:t>（二）投标函附录</w:t>
      </w:r>
      <w:r>
        <w:tab/>
      </w:r>
      <w:r>
        <w:fldChar w:fldCharType="begin"/>
      </w:r>
      <w:r>
        <w:instrText xml:space="preserve"> PAGEREF _Toc7591 \h </w:instrText>
      </w:r>
      <w:r>
        <w:fldChar w:fldCharType="separate"/>
      </w:r>
      <w:r>
        <w:t>79</w:t>
      </w:r>
      <w:r>
        <w:fldChar w:fldCharType="end"/>
      </w:r>
      <w:r>
        <w:fldChar w:fldCharType="end"/>
      </w:r>
    </w:p>
    <w:p>
      <w:pPr>
        <w:pStyle w:val="14"/>
        <w:tabs>
          <w:tab w:val="right" w:leader="dot" w:pos="9467"/>
        </w:tabs>
      </w:pPr>
      <w:r>
        <w:fldChar w:fldCharType="begin"/>
      </w:r>
      <w:r>
        <w:instrText xml:space="preserve"> HYPERLINK \l _Toc22498 </w:instrText>
      </w:r>
      <w:r>
        <w:fldChar w:fldCharType="separate"/>
      </w:r>
      <w:r>
        <w:rPr>
          <w:rFonts w:ascii="宋体" w:hAnsi="宋体"/>
          <w:bCs/>
          <w:snapToGrid w:val="0"/>
          <w:kern w:val="0"/>
          <w:szCs w:val="32"/>
        </w:rPr>
        <w:t>（三）</w:t>
      </w:r>
      <w:r>
        <w:rPr>
          <w:rFonts w:hint="eastAsia" w:ascii="宋体" w:hAnsi="宋体"/>
          <w:bCs/>
          <w:snapToGrid w:val="0"/>
          <w:kern w:val="0"/>
          <w:szCs w:val="30"/>
        </w:rPr>
        <w:t>法定代表人身份证明</w:t>
      </w:r>
      <w:r>
        <w:tab/>
      </w:r>
      <w:r>
        <w:fldChar w:fldCharType="begin"/>
      </w:r>
      <w:r>
        <w:instrText xml:space="preserve"> PAGEREF _Toc22498 \h </w:instrText>
      </w:r>
      <w:r>
        <w:fldChar w:fldCharType="separate"/>
      </w:r>
      <w:r>
        <w:t>80</w:t>
      </w:r>
      <w:r>
        <w:fldChar w:fldCharType="end"/>
      </w:r>
      <w:r>
        <w:fldChar w:fldCharType="end"/>
      </w:r>
    </w:p>
    <w:p>
      <w:pPr>
        <w:pStyle w:val="14"/>
        <w:tabs>
          <w:tab w:val="right" w:leader="dot" w:pos="9467"/>
        </w:tabs>
      </w:pPr>
      <w:r>
        <w:fldChar w:fldCharType="begin"/>
      </w:r>
      <w:r>
        <w:instrText xml:space="preserve"> HYPERLINK \l _Toc29065 </w:instrText>
      </w:r>
      <w:r>
        <w:fldChar w:fldCharType="separate"/>
      </w:r>
      <w:r>
        <w:rPr>
          <w:rFonts w:hint="eastAsia" w:ascii="宋体" w:hAnsi="宋体"/>
          <w:kern w:val="0"/>
          <w:szCs w:val="28"/>
          <w:lang w:eastAsia="zh-CN"/>
        </w:rPr>
        <w:t>（</w:t>
      </w:r>
      <w:r>
        <w:rPr>
          <w:rFonts w:hint="eastAsia" w:ascii="宋体" w:hAnsi="宋体"/>
          <w:kern w:val="0"/>
          <w:szCs w:val="28"/>
          <w:lang w:val="en-US" w:eastAsia="zh-CN"/>
        </w:rPr>
        <w:t>四</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_Toc29065 \h </w:instrText>
      </w:r>
      <w:r>
        <w:fldChar w:fldCharType="separate"/>
      </w:r>
      <w:r>
        <w:t>81</w:t>
      </w:r>
      <w:r>
        <w:fldChar w:fldCharType="end"/>
      </w:r>
      <w:r>
        <w:fldChar w:fldCharType="end"/>
      </w:r>
    </w:p>
    <w:p>
      <w:pPr>
        <w:pStyle w:val="14"/>
        <w:tabs>
          <w:tab w:val="right" w:leader="dot" w:pos="9467"/>
        </w:tabs>
      </w:pPr>
      <w:r>
        <w:fldChar w:fldCharType="begin"/>
      </w:r>
      <w:r>
        <w:instrText xml:space="preserve"> HYPERLINK \l _Toc17150 </w:instrText>
      </w:r>
      <w:r>
        <w:fldChar w:fldCharType="separate"/>
      </w:r>
      <w:r>
        <w:rPr>
          <w:rFonts w:hint="eastAsia" w:ascii="宋体" w:hAnsi="宋体"/>
          <w:kern w:val="0"/>
          <w:szCs w:val="28"/>
          <w:lang w:eastAsia="zh-CN"/>
        </w:rPr>
        <w:t>（</w:t>
      </w:r>
      <w:r>
        <w:rPr>
          <w:rFonts w:hint="eastAsia" w:ascii="宋体" w:hAnsi="宋体"/>
          <w:kern w:val="0"/>
          <w:szCs w:val="28"/>
          <w:lang w:val="en-US" w:eastAsia="zh-CN"/>
        </w:rPr>
        <w:t>五</w:t>
      </w:r>
      <w:r>
        <w:rPr>
          <w:rFonts w:hint="eastAsia" w:ascii="宋体" w:hAnsi="宋体"/>
          <w:kern w:val="0"/>
          <w:szCs w:val="28"/>
          <w:lang w:eastAsia="zh-CN"/>
        </w:rPr>
        <w:t>）低价风险担保提交承诺书</w:t>
      </w:r>
      <w:r>
        <w:tab/>
      </w:r>
      <w:r>
        <w:fldChar w:fldCharType="begin"/>
      </w:r>
      <w:r>
        <w:instrText xml:space="preserve"> PAGEREF _Toc17150 \h </w:instrText>
      </w:r>
      <w:r>
        <w:fldChar w:fldCharType="separate"/>
      </w:r>
      <w:r>
        <w:t>82</w:t>
      </w:r>
      <w:r>
        <w:fldChar w:fldCharType="end"/>
      </w:r>
      <w:r>
        <w:fldChar w:fldCharType="end"/>
      </w:r>
    </w:p>
    <w:p>
      <w:pPr>
        <w:pStyle w:val="10"/>
        <w:tabs>
          <w:tab w:val="right" w:leader="dot" w:pos="9467"/>
        </w:tabs>
      </w:pPr>
      <w:r>
        <w:fldChar w:fldCharType="begin"/>
      </w:r>
      <w:r>
        <w:instrText xml:space="preserve"> HYPERLINK \l _Toc19728 </w:instrText>
      </w:r>
      <w:r>
        <w:fldChar w:fldCharType="separate"/>
      </w:r>
      <w:r>
        <w:rPr>
          <w:rFonts w:hint="eastAsia" w:ascii="宋体" w:hAnsi="宋体"/>
          <w:bCs w:val="0"/>
          <w:szCs w:val="44"/>
          <w:lang w:val="en-US" w:eastAsia="zh-CN"/>
        </w:rPr>
        <w:t>二、经济部分</w:t>
      </w:r>
      <w:r>
        <w:tab/>
      </w:r>
      <w:r>
        <w:fldChar w:fldCharType="begin"/>
      </w:r>
      <w:r>
        <w:instrText xml:space="preserve"> PAGEREF _Toc19728 \h </w:instrText>
      </w:r>
      <w:r>
        <w:fldChar w:fldCharType="separate"/>
      </w:r>
      <w:r>
        <w:t>83</w:t>
      </w:r>
      <w:r>
        <w:fldChar w:fldCharType="end"/>
      </w:r>
      <w:r>
        <w:fldChar w:fldCharType="end"/>
      </w:r>
    </w:p>
    <w:p>
      <w:pPr>
        <w:pStyle w:val="14"/>
        <w:tabs>
          <w:tab w:val="right" w:leader="dot" w:pos="9467"/>
        </w:tabs>
      </w:pPr>
      <w:r>
        <w:fldChar w:fldCharType="begin"/>
      </w:r>
      <w:r>
        <w:instrText xml:space="preserve"> HYPERLINK \l _Toc26233 </w:instrText>
      </w:r>
      <w:r>
        <w:fldChar w:fldCharType="separate"/>
      </w:r>
      <w:r>
        <w:rPr>
          <w:rFonts w:hint="eastAsia" w:ascii="宋体" w:hAnsi="宋体"/>
          <w:bCs/>
          <w:snapToGrid w:val="0"/>
          <w:kern w:val="0"/>
          <w:szCs w:val="32"/>
        </w:rPr>
        <w:t>（一）</w:t>
      </w:r>
      <w:r>
        <w:rPr>
          <w:rFonts w:hint="eastAsia" w:ascii="宋体" w:hAnsi="宋体"/>
          <w:bCs/>
          <w:snapToGrid w:val="0"/>
          <w:kern w:val="0"/>
          <w:szCs w:val="32"/>
          <w:lang w:val="en-US" w:eastAsia="zh-CN"/>
        </w:rPr>
        <w:t>已标价工程量清单</w:t>
      </w:r>
      <w:r>
        <w:tab/>
      </w:r>
      <w:r>
        <w:fldChar w:fldCharType="begin"/>
      </w:r>
      <w:r>
        <w:instrText xml:space="preserve"> PAGEREF _Toc26233 \h </w:instrText>
      </w:r>
      <w:r>
        <w:fldChar w:fldCharType="separate"/>
      </w:r>
      <w:r>
        <w:t>85</w:t>
      </w:r>
      <w:r>
        <w:fldChar w:fldCharType="end"/>
      </w:r>
      <w:r>
        <w:fldChar w:fldCharType="end"/>
      </w:r>
    </w:p>
    <w:p>
      <w:pPr>
        <w:pStyle w:val="10"/>
        <w:tabs>
          <w:tab w:val="right" w:leader="dot" w:pos="9467"/>
        </w:tabs>
      </w:pPr>
      <w:r>
        <w:fldChar w:fldCharType="begin"/>
      </w:r>
      <w:r>
        <w:instrText xml:space="preserve"> HYPERLINK \l _Toc6799 </w:instrText>
      </w:r>
      <w:r>
        <w:fldChar w:fldCharType="separate"/>
      </w:r>
      <w:r>
        <w:rPr>
          <w:rFonts w:hint="eastAsia" w:ascii="宋体" w:hAnsi="宋体"/>
          <w:bCs w:val="0"/>
          <w:szCs w:val="44"/>
        </w:rPr>
        <w:t>三、资格审查部分</w:t>
      </w:r>
      <w:r>
        <w:tab/>
      </w:r>
      <w:r>
        <w:fldChar w:fldCharType="begin"/>
      </w:r>
      <w:r>
        <w:instrText xml:space="preserve"> PAGEREF _Toc6799 \h </w:instrText>
      </w:r>
      <w:r>
        <w:fldChar w:fldCharType="separate"/>
      </w:r>
      <w:r>
        <w:t>86</w:t>
      </w:r>
      <w:r>
        <w:fldChar w:fldCharType="end"/>
      </w:r>
      <w:r>
        <w:fldChar w:fldCharType="end"/>
      </w:r>
    </w:p>
    <w:p>
      <w:pPr>
        <w:pStyle w:val="14"/>
        <w:tabs>
          <w:tab w:val="right" w:leader="dot" w:pos="9467"/>
        </w:tabs>
      </w:pPr>
      <w:r>
        <w:fldChar w:fldCharType="begin"/>
      </w:r>
      <w:r>
        <w:instrText xml:space="preserve"> HYPERLINK \l _Toc18382 </w:instrText>
      </w:r>
      <w:r>
        <w:fldChar w:fldCharType="separate"/>
      </w:r>
      <w:r>
        <w:rPr>
          <w:rFonts w:ascii="宋体" w:hAnsi="宋体"/>
          <w:bCs/>
          <w:snapToGrid w:val="0"/>
          <w:kern w:val="0"/>
          <w:szCs w:val="32"/>
        </w:rPr>
        <w:t>（</w:t>
      </w:r>
      <w:r>
        <w:rPr>
          <w:rFonts w:hint="eastAsia" w:ascii="宋体" w:hAnsi="宋体"/>
          <w:bCs/>
          <w:snapToGrid w:val="0"/>
          <w:kern w:val="0"/>
          <w:szCs w:val="32"/>
          <w:lang w:val="en-US" w:eastAsia="zh-CN"/>
        </w:rPr>
        <w:t>一</w:t>
      </w:r>
      <w:r>
        <w:rPr>
          <w:rFonts w:ascii="宋体" w:hAnsi="宋体"/>
          <w:bCs/>
          <w:snapToGrid w:val="0"/>
          <w:kern w:val="0"/>
          <w:szCs w:val="32"/>
        </w:rPr>
        <w:t>）</w:t>
      </w:r>
      <w:r>
        <w:rPr>
          <w:rFonts w:hint="eastAsia" w:ascii="宋体" w:hAnsi="宋体"/>
          <w:bCs/>
          <w:snapToGrid w:val="0"/>
          <w:kern w:val="0"/>
          <w:szCs w:val="30"/>
        </w:rPr>
        <w:t>法定代表人身份证明</w:t>
      </w:r>
      <w:r>
        <w:tab/>
      </w:r>
      <w:r>
        <w:fldChar w:fldCharType="begin"/>
      </w:r>
      <w:r>
        <w:instrText xml:space="preserve"> PAGEREF _Toc18382 \h </w:instrText>
      </w:r>
      <w:r>
        <w:fldChar w:fldCharType="separate"/>
      </w:r>
      <w:r>
        <w:t>89</w:t>
      </w:r>
      <w:r>
        <w:fldChar w:fldCharType="end"/>
      </w:r>
      <w:r>
        <w:fldChar w:fldCharType="end"/>
      </w:r>
    </w:p>
    <w:p>
      <w:pPr>
        <w:pStyle w:val="14"/>
        <w:tabs>
          <w:tab w:val="right" w:leader="dot" w:pos="9467"/>
        </w:tabs>
      </w:pPr>
      <w:r>
        <w:fldChar w:fldCharType="begin"/>
      </w:r>
      <w:r>
        <w:instrText xml:space="preserve"> HYPERLINK \l _Toc24657 </w:instrText>
      </w:r>
      <w:r>
        <w:fldChar w:fldCharType="separate"/>
      </w:r>
      <w:r>
        <w:rPr>
          <w:rFonts w:hint="eastAsia" w:ascii="宋体" w:hAnsi="宋体"/>
          <w:kern w:val="0"/>
          <w:szCs w:val="28"/>
          <w:lang w:eastAsia="zh-CN"/>
        </w:rPr>
        <w:t>（</w:t>
      </w:r>
      <w:r>
        <w:rPr>
          <w:rFonts w:hint="eastAsia" w:ascii="宋体" w:hAnsi="宋体"/>
          <w:kern w:val="0"/>
          <w:szCs w:val="28"/>
          <w:lang w:val="en-US" w:eastAsia="zh-CN"/>
        </w:rPr>
        <w:t>二</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_Toc24657 \h </w:instrText>
      </w:r>
      <w:r>
        <w:fldChar w:fldCharType="separate"/>
      </w:r>
      <w:r>
        <w:t>90</w:t>
      </w:r>
      <w:r>
        <w:fldChar w:fldCharType="end"/>
      </w:r>
      <w:r>
        <w:fldChar w:fldCharType="end"/>
      </w:r>
    </w:p>
    <w:p>
      <w:pPr>
        <w:pStyle w:val="14"/>
        <w:tabs>
          <w:tab w:val="right" w:leader="dot" w:pos="9467"/>
        </w:tabs>
      </w:pPr>
      <w:r>
        <w:fldChar w:fldCharType="begin"/>
      </w:r>
      <w:r>
        <w:instrText xml:space="preserve"> HYPERLINK \l _Toc15903 </w:instrText>
      </w:r>
      <w:r>
        <w:fldChar w:fldCharType="separate"/>
      </w:r>
      <w:r>
        <w:rPr>
          <w:rFonts w:hint="eastAsia" w:ascii="宋体" w:hAnsi="宋体"/>
          <w:kern w:val="0"/>
          <w:szCs w:val="28"/>
          <w:lang w:val="en-US" w:eastAsia="zh-CN"/>
        </w:rPr>
        <w:t>（三</w:t>
      </w:r>
      <w:r>
        <w:rPr>
          <w:rFonts w:hint="eastAsia" w:ascii="宋体" w:hAnsi="宋体"/>
          <w:kern w:val="0"/>
          <w:szCs w:val="28"/>
          <w:lang w:eastAsia="zh-CN"/>
        </w:rPr>
        <w:t>）</w:t>
      </w:r>
      <w:r>
        <w:rPr>
          <w:rFonts w:hint="eastAsia" w:ascii="宋体" w:hAnsi="宋体"/>
          <w:kern w:val="0"/>
          <w:szCs w:val="28"/>
          <w:lang w:val="en-US" w:eastAsia="zh-CN"/>
        </w:rPr>
        <w:t>营业执照、资质证书、安全生产许可证</w:t>
      </w:r>
      <w:r>
        <w:tab/>
      </w:r>
      <w:r>
        <w:fldChar w:fldCharType="begin"/>
      </w:r>
      <w:r>
        <w:instrText xml:space="preserve"> PAGEREF _Toc15903 \h </w:instrText>
      </w:r>
      <w:r>
        <w:fldChar w:fldCharType="separate"/>
      </w:r>
      <w:r>
        <w:t>91</w:t>
      </w:r>
      <w:r>
        <w:fldChar w:fldCharType="end"/>
      </w:r>
      <w:r>
        <w:fldChar w:fldCharType="end"/>
      </w:r>
    </w:p>
    <w:p>
      <w:pPr>
        <w:pStyle w:val="14"/>
        <w:tabs>
          <w:tab w:val="right" w:leader="dot" w:pos="9467"/>
        </w:tabs>
      </w:pPr>
      <w:r>
        <w:fldChar w:fldCharType="begin"/>
      </w:r>
      <w:r>
        <w:instrText xml:space="preserve"> HYPERLINK \l _Toc7190 </w:instrText>
      </w:r>
      <w:r>
        <w:fldChar w:fldCharType="separate"/>
      </w:r>
      <w:r>
        <w:rPr>
          <w:rFonts w:hint="eastAsia" w:ascii="宋体" w:hAnsi="宋体"/>
          <w:kern w:val="0"/>
          <w:szCs w:val="28"/>
          <w:lang w:eastAsia="zh-CN"/>
        </w:rPr>
        <w:t>（</w:t>
      </w:r>
      <w:r>
        <w:rPr>
          <w:rFonts w:hint="eastAsia" w:ascii="宋体" w:hAnsi="宋体"/>
          <w:kern w:val="0"/>
          <w:szCs w:val="28"/>
          <w:lang w:val="en-US" w:eastAsia="zh-CN"/>
        </w:rPr>
        <w:t>四</w:t>
      </w:r>
      <w:r>
        <w:rPr>
          <w:rFonts w:hint="eastAsia" w:ascii="宋体" w:hAnsi="宋体"/>
          <w:kern w:val="0"/>
          <w:szCs w:val="28"/>
          <w:lang w:eastAsia="zh-CN"/>
        </w:rPr>
        <w:t>）其他资料</w:t>
      </w:r>
      <w:r>
        <w:tab/>
      </w:r>
      <w:r>
        <w:fldChar w:fldCharType="begin"/>
      </w:r>
      <w:r>
        <w:instrText xml:space="preserve"> PAGEREF _Toc7190 \h </w:instrText>
      </w:r>
      <w:r>
        <w:fldChar w:fldCharType="separate"/>
      </w:r>
      <w:r>
        <w:t>92</w:t>
      </w:r>
      <w:r>
        <w:fldChar w:fldCharType="end"/>
      </w:r>
      <w:r>
        <w:fldChar w:fldCharType="end"/>
      </w:r>
    </w:p>
    <w:p>
      <w:pPr>
        <w:pStyle w:val="2"/>
      </w:pPr>
      <w:r>
        <w:fldChar w:fldCharType="end"/>
      </w:r>
    </w:p>
    <w:p>
      <w:pPr>
        <w:pStyle w:val="2"/>
      </w:pPr>
    </w:p>
    <w:p>
      <w:pPr>
        <w:rPr>
          <w:rFonts w:hint="eastAsia" w:ascii="宋体" w:hAnsi="宋体"/>
          <w:color w:val="auto"/>
          <w:sz w:val="52"/>
          <w:szCs w:val="52"/>
        </w:rPr>
      </w:pPr>
      <w:bookmarkStart w:id="18" w:name="_Toc509218690"/>
      <w:bookmarkStart w:id="19" w:name="_Toc4279"/>
      <w:bookmarkStart w:id="20" w:name="_Toc95830655"/>
      <w:r>
        <w:rPr>
          <w:rFonts w:hint="eastAsia" w:ascii="宋体" w:hAnsi="宋体"/>
          <w:color w:val="auto"/>
          <w:sz w:val="52"/>
          <w:szCs w:val="52"/>
        </w:rPr>
        <w:br w:type="page"/>
      </w:r>
    </w:p>
    <w:p>
      <w:pPr>
        <w:pStyle w:val="3"/>
        <w:spacing w:before="0" w:after="0" w:line="480" w:lineRule="auto"/>
        <w:jc w:val="center"/>
        <w:outlineLvl w:val="0"/>
        <w:rPr>
          <w:rFonts w:ascii="宋体" w:hAnsi="宋体"/>
          <w:color w:val="auto"/>
          <w:sz w:val="52"/>
          <w:szCs w:val="52"/>
        </w:rPr>
      </w:pPr>
      <w:bookmarkStart w:id="21" w:name="_Toc10411"/>
      <w:bookmarkStart w:id="22" w:name="_Toc17952"/>
      <w:bookmarkStart w:id="23" w:name="_Toc6880"/>
      <w:bookmarkStart w:id="24" w:name="_Toc20337"/>
      <w:r>
        <w:rPr>
          <w:rFonts w:hint="eastAsia" w:ascii="宋体" w:hAnsi="宋体"/>
          <w:color w:val="auto"/>
          <w:sz w:val="52"/>
          <w:szCs w:val="52"/>
        </w:rPr>
        <w:t>第 一 卷</w:t>
      </w:r>
      <w:bookmarkEnd w:id="18"/>
      <w:bookmarkEnd w:id="19"/>
      <w:bookmarkEnd w:id="20"/>
      <w:bookmarkEnd w:id="21"/>
      <w:bookmarkEnd w:id="22"/>
      <w:bookmarkEnd w:id="23"/>
      <w:bookmarkEnd w:id="24"/>
    </w:p>
    <w:p>
      <w:pPr>
        <w:spacing w:line="200" w:lineRule="exact"/>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color w:val="auto"/>
        </w:rPr>
      </w:pPr>
    </w:p>
    <w:p>
      <w:pPr>
        <w:rPr>
          <w:rFonts w:ascii="宋体" w:hAnsi="宋体"/>
          <w:color w:val="auto"/>
        </w:rPr>
      </w:pPr>
    </w:p>
    <w:p>
      <w:pPr>
        <w:pStyle w:val="2"/>
        <w:rPr>
          <w:rFonts w:ascii="宋体" w:hAnsi="宋体"/>
          <w:color w:val="auto"/>
        </w:rPr>
      </w:pPr>
    </w:p>
    <w:p>
      <w:pPr>
        <w:pStyle w:val="4"/>
        <w:spacing w:line="360" w:lineRule="auto"/>
        <w:jc w:val="center"/>
        <w:outlineLvl w:val="1"/>
        <w:rPr>
          <w:rFonts w:hint="eastAsia" w:ascii="宋体" w:hAnsi="宋体" w:eastAsia="宋体" w:cs="宋体"/>
          <w:snapToGrid w:val="0"/>
          <w:color w:val="auto"/>
          <w:kern w:val="0"/>
        </w:rPr>
      </w:pPr>
      <w:bookmarkStart w:id="25" w:name="_Toc277082535"/>
      <w:bookmarkStart w:id="26" w:name="_Toc509218691"/>
      <w:bookmarkStart w:id="27" w:name="_Toc15923"/>
      <w:bookmarkStart w:id="28" w:name="_Toc95830656"/>
      <w:bookmarkStart w:id="29" w:name="_Toc24495"/>
      <w:bookmarkStart w:id="30" w:name="_Toc287607727"/>
      <w:bookmarkStart w:id="31" w:name="_Toc224103298"/>
      <w:bookmarkStart w:id="32" w:name="_Toc430530415"/>
      <w:bookmarkStart w:id="33" w:name="_Toc14293"/>
      <w:bookmarkStart w:id="34" w:name="_Toc18814"/>
      <w:bookmarkStart w:id="35" w:name="_Toc10709"/>
      <w:bookmarkStart w:id="36" w:name="_Toc287620666"/>
      <w:r>
        <w:rPr>
          <w:rFonts w:hint="eastAsia" w:ascii="宋体" w:hAnsi="宋体" w:eastAsia="宋体" w:cs="宋体"/>
          <w:snapToGrid w:val="0"/>
          <w:color w:val="auto"/>
          <w:kern w:val="0"/>
        </w:rPr>
        <w:t>第一章  招标公告</w:t>
      </w:r>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u w:val="single"/>
          <w:lang w:val="en-US" w:eastAsia="zh-CN"/>
        </w:rPr>
      </w:pPr>
      <w:bookmarkStart w:id="37" w:name="_Toc13970"/>
      <w:bookmarkStart w:id="38" w:name="_Toc29601"/>
      <w:bookmarkStart w:id="39" w:name="_Toc6053"/>
      <w:bookmarkStart w:id="40" w:name="_Toc17697"/>
      <w:bookmarkStart w:id="41" w:name="_Toc95830662"/>
      <w:bookmarkStart w:id="42" w:name="_Toc277082541"/>
      <w:bookmarkStart w:id="43" w:name="_Toc287607733"/>
      <w:bookmarkStart w:id="44" w:name="_Toc200359432"/>
      <w:bookmarkStart w:id="45" w:name="_Toc509218697"/>
      <w:bookmarkStart w:id="46" w:name="_Toc200359243"/>
      <w:bookmarkStart w:id="47" w:name="_Toc430530421"/>
      <w:bookmarkStart w:id="48" w:name="_Toc224103304"/>
      <w:bookmarkStart w:id="49" w:name="_Toc287620672"/>
      <w:bookmarkStart w:id="50" w:name="_Hlk95131226"/>
      <w:r>
        <w:rPr>
          <w:rFonts w:hint="eastAsia" w:ascii="宋体" w:hAnsi="宋体" w:eastAsia="宋体" w:cs="宋体"/>
          <w:b/>
          <w:bCs/>
          <w:color w:val="auto"/>
          <w:sz w:val="28"/>
          <w:szCs w:val="28"/>
          <w:u w:val="single"/>
          <w:lang w:val="en-US" w:eastAsia="zh-CN"/>
        </w:rPr>
        <w:t>重庆市建筑科学研究院有限公司</w:t>
      </w:r>
      <w:bookmarkEnd w:id="37"/>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single"/>
          <w:lang w:val="en-US" w:eastAsia="zh-CN"/>
        </w:rPr>
        <w:t>江南分中心实验室搬迁项目</w:t>
      </w:r>
      <w:r>
        <w:rPr>
          <w:rFonts w:hint="eastAsia" w:ascii="宋体" w:hAnsi="宋体" w:cs="宋体"/>
          <w:b/>
          <w:bCs/>
          <w:color w:val="auto"/>
          <w:sz w:val="28"/>
          <w:szCs w:val="28"/>
          <w:u w:val="single"/>
          <w:lang w:val="en-US" w:eastAsia="zh-CN"/>
        </w:rPr>
        <w:t>（实验区）劳务分包</w:t>
      </w:r>
      <w:r>
        <w:rPr>
          <w:rFonts w:hint="eastAsia" w:ascii="宋体" w:hAnsi="宋体" w:eastAsia="宋体" w:cs="宋体"/>
          <w:b/>
          <w:bCs/>
          <w:color w:val="auto"/>
          <w:sz w:val="28"/>
          <w:szCs w:val="28"/>
          <w:u w:val="single"/>
          <w:lang w:val="en-US" w:eastAsia="zh-CN"/>
        </w:rPr>
        <w:t>（装饰工程</w:t>
      </w:r>
      <w:r>
        <w:rPr>
          <w:rFonts w:hint="eastAsia" w:ascii="宋体" w:hAnsi="宋体" w:cs="宋体"/>
          <w:b/>
          <w:bCs/>
          <w:color w:val="auto"/>
          <w:sz w:val="28"/>
          <w:szCs w:val="28"/>
          <w:u w:val="single"/>
          <w:lang w:val="en-US" w:eastAsia="zh-CN"/>
        </w:rPr>
        <w:t>及水电智能化工程</w:t>
      </w:r>
      <w:r>
        <w:rPr>
          <w:rFonts w:hint="eastAsia" w:ascii="宋体" w:hAnsi="宋体" w:eastAsia="宋体" w:cs="宋体"/>
          <w:b/>
          <w:bCs/>
          <w:color w:val="auto"/>
          <w:sz w:val="28"/>
          <w:szCs w:val="28"/>
          <w:u w:val="single"/>
          <w:lang w:val="en-US" w:eastAsia="zh-CN"/>
        </w:rPr>
        <w:t>）</w:t>
      </w:r>
      <w:r>
        <w:rPr>
          <w:rFonts w:hint="eastAsia" w:ascii="宋体" w:hAnsi="宋体" w:eastAsia="宋体" w:cs="宋体"/>
          <w:b/>
          <w:bCs/>
          <w:color w:val="auto"/>
          <w:sz w:val="28"/>
          <w:szCs w:val="28"/>
          <w:u w:val="none"/>
          <w:lang w:val="en-US" w:eastAsia="zh-CN"/>
        </w:rPr>
        <w:t>招标公告</w:t>
      </w: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51" w:name="_Toc19755"/>
      <w:bookmarkStart w:id="52" w:name="_Toc29013"/>
      <w:bookmarkStart w:id="53" w:name="_Toc16079"/>
      <w:bookmarkStart w:id="54" w:name="_Toc30918"/>
      <w:bookmarkStart w:id="55" w:name="_Toc27565"/>
      <w:r>
        <w:rPr>
          <w:rFonts w:hint="eastAsia" w:ascii="宋体" w:hAnsi="宋体" w:eastAsia="宋体" w:cs="宋体"/>
          <w:b/>
          <w:bCs/>
          <w:color w:val="auto"/>
          <w:sz w:val="28"/>
          <w:szCs w:val="28"/>
          <w:u w:val="none"/>
          <w:lang w:val="en-US" w:eastAsia="zh-CN"/>
        </w:rPr>
        <w:t>1、招标条件</w:t>
      </w:r>
      <w:bookmarkEnd w:id="51"/>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本次招标项目为重庆市建筑科学研究院有限公司“江南分中心实验室搬迁项目（实验区）劳务分包（装饰工程及水电智能化工程）”，项目业主为重庆市建筑科学研究院有限公司，建设资金为业主自筹，项目出资比例100%，招标人为重庆市建筑科学研究院有限公司。项目已具备招标条件，现对该项目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56" w:name="_Toc16818"/>
      <w:bookmarkStart w:id="57" w:name="_Toc18624"/>
      <w:bookmarkStart w:id="58" w:name="_Toc30391"/>
      <w:bookmarkStart w:id="59" w:name="_Toc21194"/>
      <w:bookmarkStart w:id="60" w:name="_Toc25403"/>
      <w:r>
        <w:rPr>
          <w:rFonts w:hint="eastAsia" w:ascii="宋体" w:hAnsi="宋体" w:eastAsia="宋体" w:cs="宋体"/>
          <w:b/>
          <w:bCs/>
          <w:color w:val="auto"/>
          <w:sz w:val="28"/>
          <w:szCs w:val="28"/>
          <w:u w:val="none"/>
          <w:lang w:val="en-US" w:eastAsia="zh-CN"/>
        </w:rPr>
        <w:t>2、项目概况与招标范围</w:t>
      </w:r>
      <w:bookmarkEnd w:id="56"/>
      <w:bookmarkEnd w:id="57"/>
      <w:bookmarkEnd w:id="58"/>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61" w:name="_Toc19181"/>
      <w:r>
        <w:rPr>
          <w:rFonts w:hint="eastAsia" w:ascii="宋体" w:hAnsi="宋体" w:eastAsia="宋体" w:cs="宋体"/>
          <w:b w:val="0"/>
          <w:bCs w:val="0"/>
          <w:color w:val="auto"/>
          <w:sz w:val="28"/>
          <w:szCs w:val="28"/>
          <w:u w:val="none"/>
          <w:lang w:val="en-US" w:eastAsia="zh-CN"/>
        </w:rPr>
        <w:t>2.1 工程地址：</w:t>
      </w:r>
      <w:r>
        <w:rPr>
          <w:rFonts w:hint="eastAsia" w:ascii="宋体" w:hAnsi="宋体" w:eastAsia="宋体" w:cs="宋体"/>
          <w:b w:val="0"/>
          <w:bCs w:val="0"/>
          <w:color w:val="auto"/>
          <w:sz w:val="28"/>
          <w:szCs w:val="28"/>
          <w:u w:val="single"/>
          <w:lang w:val="en-US" w:eastAsia="zh-CN"/>
        </w:rPr>
        <w:t xml:space="preserve"> 重庆市南岸区梨花大道857号</w:t>
      </w:r>
      <w:bookmarkEnd w:id="61"/>
      <w:r>
        <w:rPr>
          <w:rFonts w:hint="eastAsia" w:ascii="宋体" w:hAnsi="宋体" w:eastAsia="宋体" w:cs="宋体"/>
          <w:b w:val="0"/>
          <w:bCs w:val="0"/>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2.2 项目概况与建设规模：项目主要建设内容包括装饰、强弱电、给排水、</w:t>
      </w:r>
      <w:r>
        <w:rPr>
          <w:rFonts w:hint="eastAsia" w:ascii="宋体" w:hAnsi="宋体" w:cs="宋体"/>
          <w:b w:val="0"/>
          <w:bCs w:val="0"/>
          <w:color w:val="auto"/>
          <w:sz w:val="28"/>
          <w:szCs w:val="28"/>
          <w:u w:val="none"/>
          <w:lang w:val="en-US" w:eastAsia="zh-CN"/>
        </w:rPr>
        <w:t>智能化、</w:t>
      </w:r>
      <w:r>
        <w:rPr>
          <w:rFonts w:hint="eastAsia" w:ascii="宋体" w:hAnsi="宋体" w:eastAsia="宋体" w:cs="宋体"/>
          <w:b w:val="0"/>
          <w:bCs w:val="0"/>
          <w:color w:val="auto"/>
          <w:sz w:val="28"/>
          <w:szCs w:val="28"/>
          <w:u w:val="none"/>
          <w:lang w:val="en-US" w:eastAsia="zh-CN"/>
        </w:rPr>
        <w:t>钢结构工程等。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2.3 招标范围：</w:t>
      </w:r>
      <w:r>
        <w:rPr>
          <w:rFonts w:hint="eastAsia" w:ascii="宋体" w:hAnsi="宋体" w:eastAsia="宋体" w:cs="宋体"/>
          <w:b w:val="0"/>
          <w:bCs w:val="0"/>
          <w:color w:val="auto"/>
          <w:sz w:val="28"/>
          <w:szCs w:val="28"/>
          <w:u w:val="single"/>
          <w:lang w:val="en-US" w:eastAsia="zh-CN"/>
        </w:rPr>
        <w:t>包括但不限于装饰、</w:t>
      </w:r>
      <w:r>
        <w:rPr>
          <w:rFonts w:hint="eastAsia" w:ascii="宋体" w:hAnsi="宋体" w:cs="宋体"/>
          <w:b w:val="0"/>
          <w:bCs w:val="0"/>
          <w:color w:val="auto"/>
          <w:sz w:val="28"/>
          <w:szCs w:val="28"/>
          <w:u w:val="single"/>
          <w:lang w:val="en-US" w:eastAsia="zh-CN"/>
        </w:rPr>
        <w:t>强弱</w:t>
      </w:r>
      <w:r>
        <w:rPr>
          <w:rFonts w:hint="eastAsia" w:ascii="宋体" w:hAnsi="宋体" w:eastAsia="宋体" w:cs="宋体"/>
          <w:b w:val="0"/>
          <w:bCs w:val="0"/>
          <w:color w:val="auto"/>
          <w:sz w:val="28"/>
          <w:szCs w:val="28"/>
          <w:u w:val="single"/>
          <w:lang w:val="en-US" w:eastAsia="zh-CN"/>
        </w:rPr>
        <w:t>电、给排水、</w:t>
      </w:r>
      <w:r>
        <w:rPr>
          <w:rFonts w:hint="eastAsia" w:ascii="宋体" w:hAnsi="宋体" w:cs="宋体"/>
          <w:b w:val="0"/>
          <w:bCs w:val="0"/>
          <w:color w:val="auto"/>
          <w:sz w:val="28"/>
          <w:szCs w:val="28"/>
          <w:u w:val="single"/>
          <w:lang w:val="en-US" w:eastAsia="zh-CN"/>
        </w:rPr>
        <w:t>智能化、</w:t>
      </w:r>
      <w:r>
        <w:rPr>
          <w:rFonts w:hint="eastAsia" w:ascii="宋体" w:hAnsi="宋体" w:eastAsia="宋体" w:cs="宋体"/>
          <w:b w:val="0"/>
          <w:bCs w:val="0"/>
          <w:color w:val="auto"/>
          <w:sz w:val="28"/>
          <w:szCs w:val="28"/>
          <w:u w:val="single"/>
          <w:lang w:val="en-US" w:eastAsia="zh-CN"/>
        </w:rPr>
        <w:t>钢结构工程等工作内容。具体以招标人发出的施工图及工程量清单为准。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62" w:name="_Toc27880"/>
      <w:r>
        <w:rPr>
          <w:rFonts w:hint="eastAsia" w:ascii="宋体" w:hAnsi="宋体" w:eastAsia="宋体" w:cs="宋体"/>
          <w:b w:val="0"/>
          <w:bCs w:val="0"/>
          <w:color w:val="auto"/>
          <w:sz w:val="28"/>
          <w:szCs w:val="28"/>
          <w:u w:val="none"/>
          <w:lang w:val="en-US" w:eastAsia="zh-CN"/>
        </w:rPr>
        <w:t>2.4 工期要求：</w:t>
      </w:r>
      <w:r>
        <w:rPr>
          <w:rFonts w:hint="eastAsia" w:ascii="宋体" w:hAnsi="宋体" w:eastAsia="宋体" w:cs="宋体"/>
          <w:b w:val="0"/>
          <w:bCs w:val="0"/>
          <w:color w:val="auto"/>
          <w:sz w:val="28"/>
          <w:szCs w:val="28"/>
          <w:u w:val="single"/>
          <w:lang w:val="en-US" w:eastAsia="zh-CN"/>
        </w:rPr>
        <w:t>60日历天。</w:t>
      </w:r>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缺陷责任期要求：</w:t>
      </w:r>
      <w:r>
        <w:rPr>
          <w:rFonts w:hint="eastAsia" w:ascii="宋体" w:hAnsi="宋体" w:eastAsia="宋体" w:cs="宋体"/>
          <w:b w:val="0"/>
          <w:bCs w:val="0"/>
          <w:color w:val="auto"/>
          <w:sz w:val="28"/>
          <w:szCs w:val="28"/>
          <w:u w:val="single"/>
          <w:lang w:val="en-US" w:eastAsia="zh-CN"/>
        </w:rPr>
        <w:t>24个月。</w:t>
      </w: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63" w:name="_Toc29401"/>
      <w:bookmarkStart w:id="64" w:name="_Toc13300"/>
      <w:bookmarkStart w:id="65" w:name="_Toc19483"/>
      <w:bookmarkStart w:id="66" w:name="_Toc6609"/>
      <w:bookmarkStart w:id="67" w:name="_Toc30840"/>
      <w:r>
        <w:rPr>
          <w:rFonts w:hint="eastAsia" w:ascii="宋体" w:hAnsi="宋体" w:eastAsia="宋体" w:cs="宋体"/>
          <w:b/>
          <w:bCs/>
          <w:color w:val="auto"/>
          <w:sz w:val="28"/>
          <w:szCs w:val="28"/>
          <w:u w:val="none"/>
          <w:lang w:val="en-US" w:eastAsia="zh-CN"/>
        </w:rPr>
        <w:t>3、投标人资格要求</w:t>
      </w:r>
      <w:bookmarkEnd w:id="63"/>
      <w:bookmarkEnd w:id="64"/>
      <w:bookmarkEnd w:id="65"/>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3.1 本次招标实行资格后审。本次招标要求投标人须具备以下条件：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560" w:firstLineChars="200"/>
        <w:jc w:val="both"/>
        <w:textAlignment w:val="auto"/>
        <w:rPr>
          <w:rFonts w:hint="default" w:ascii="宋体" w:hAnsi="宋体" w:eastAsia="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3.1.1 具备独立法人资格的企业，具备有效的营业执照、资质证书、安全生产许可证。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560" w:firstLineChars="200"/>
        <w:jc w:val="both"/>
        <w:textAlignment w:val="auto"/>
        <w:rPr>
          <w:rFonts w:hint="eastAsia" w:ascii="宋体" w:hAnsi="宋体"/>
          <w:color w:val="auto"/>
          <w:szCs w:val="21"/>
          <w:lang w:val="en-US" w:eastAsia="zh-CN"/>
        </w:rPr>
      </w:pPr>
      <w:r>
        <w:rPr>
          <w:rFonts w:hint="eastAsia" w:ascii="宋体" w:hAnsi="宋体" w:eastAsia="宋体" w:cs="宋体"/>
          <w:b w:val="0"/>
          <w:bCs w:val="0"/>
          <w:color w:val="auto"/>
          <w:sz w:val="28"/>
          <w:szCs w:val="28"/>
          <w:u w:val="none"/>
          <w:lang w:val="en-US" w:eastAsia="zh-CN"/>
        </w:rPr>
        <w:t>3.1.</w:t>
      </w:r>
      <w:r>
        <w:rPr>
          <w:rFonts w:hint="eastAsia" w:ascii="宋体" w:hAnsi="宋体" w:cs="宋体"/>
          <w:b w:val="0"/>
          <w:bCs w:val="0"/>
          <w:color w:val="auto"/>
          <w:sz w:val="28"/>
          <w:szCs w:val="28"/>
          <w:u w:val="none"/>
          <w:lang w:val="en-US" w:eastAsia="zh-CN"/>
        </w:rPr>
        <w:t>2</w:t>
      </w:r>
      <w:r>
        <w:rPr>
          <w:rFonts w:hint="eastAsia" w:ascii="宋体" w:hAnsi="宋体" w:eastAsia="宋体" w:cs="宋体"/>
          <w:b w:val="0"/>
          <w:bCs w:val="0"/>
          <w:color w:val="auto"/>
          <w:sz w:val="28"/>
          <w:szCs w:val="28"/>
          <w:u w:val="none"/>
          <w:lang w:val="en-US" w:eastAsia="zh-CN"/>
        </w:rPr>
        <w:t xml:space="preserve"> </w:t>
      </w:r>
      <w:r>
        <w:rPr>
          <w:rFonts w:hint="eastAsia" w:ascii="宋体" w:hAnsi="宋体" w:cs="宋体"/>
          <w:b w:val="0"/>
          <w:bCs w:val="0"/>
          <w:color w:val="auto"/>
          <w:sz w:val="28"/>
          <w:szCs w:val="28"/>
          <w:u w:val="none"/>
          <w:lang w:val="en-US" w:eastAsia="zh-CN"/>
        </w:rPr>
        <w:t>具备建设行政主管部门颁发的施工劳务资质。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560" w:firstLineChars="200"/>
        <w:jc w:val="both"/>
        <w:textAlignment w:val="auto"/>
        <w:rPr>
          <w:rFonts w:hint="default"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 xml:space="preserve">3.1.3 </w:t>
      </w:r>
      <w:r>
        <w:rPr>
          <w:rFonts w:hint="eastAsia" w:ascii="宋体" w:hAnsi="宋体" w:cs="宋体"/>
          <w:b w:val="0"/>
          <w:bCs w:val="0"/>
          <w:color w:val="auto"/>
          <w:sz w:val="28"/>
          <w:szCs w:val="28"/>
          <w:u w:val="none"/>
          <w:lang w:val="en-US" w:eastAsia="zh-CN"/>
        </w:rPr>
        <w:t>中标单位、合同签订单位和收款单位为同一单位。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3.2 投标人若为重庆市市外企业，需满足《重庆市市外建筑施工企业入渝登记备案管理办法》的要求，并提供相关证明文件。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color w:val="auto"/>
          <w:sz w:val="28"/>
          <w:szCs w:val="28"/>
          <w:u w:val="none"/>
          <w:lang w:val="en-US" w:eastAsia="zh-CN"/>
        </w:rPr>
      </w:pPr>
      <w:bookmarkStart w:id="68" w:name="_Toc28482"/>
      <w:r>
        <w:rPr>
          <w:rFonts w:hint="eastAsia" w:ascii="宋体" w:hAnsi="宋体" w:eastAsia="宋体" w:cs="宋体"/>
          <w:b w:val="0"/>
          <w:bCs w:val="0"/>
          <w:color w:val="auto"/>
          <w:sz w:val="28"/>
          <w:szCs w:val="28"/>
          <w:u w:val="none"/>
          <w:lang w:val="en-US" w:eastAsia="zh-CN"/>
        </w:rPr>
        <w:t>3.</w:t>
      </w:r>
      <w:r>
        <w:rPr>
          <w:rFonts w:hint="eastAsia" w:ascii="宋体" w:hAnsi="宋体" w:cs="宋体"/>
          <w:b w:val="0"/>
          <w:bCs w:val="0"/>
          <w:color w:val="FF0000"/>
          <w:sz w:val="28"/>
          <w:szCs w:val="28"/>
          <w:u w:val="none"/>
          <w:lang w:val="en-US" w:eastAsia="zh-CN"/>
        </w:rPr>
        <w:t>3</w:t>
      </w:r>
      <w:r>
        <w:rPr>
          <w:rFonts w:hint="eastAsia" w:ascii="宋体" w:hAnsi="宋体" w:eastAsia="宋体" w:cs="宋体"/>
          <w:b w:val="0"/>
          <w:bCs w:val="0"/>
          <w:color w:val="auto"/>
          <w:sz w:val="28"/>
          <w:szCs w:val="28"/>
          <w:u w:val="none"/>
          <w:lang w:val="en-US" w:eastAsia="zh-CN"/>
        </w:rPr>
        <w:t xml:space="preserve"> 本次招标不接受联合体招标。</w:t>
      </w:r>
      <w:bookmarkEnd w:id="68"/>
    </w:p>
    <w:p>
      <w:pPr>
        <w:pStyle w:val="2"/>
        <w:rPr>
          <w:rFonts w:hint="default"/>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69" w:name="_Toc4921"/>
      <w:bookmarkStart w:id="70" w:name="_Toc22820"/>
      <w:bookmarkStart w:id="71" w:name="_Toc1457"/>
      <w:bookmarkStart w:id="72" w:name="_Toc5004"/>
      <w:bookmarkStart w:id="73" w:name="_Toc13269"/>
      <w:r>
        <w:rPr>
          <w:rFonts w:hint="eastAsia" w:ascii="宋体" w:hAnsi="宋体" w:eastAsia="宋体" w:cs="宋体"/>
          <w:b/>
          <w:bCs/>
          <w:color w:val="auto"/>
          <w:sz w:val="28"/>
          <w:szCs w:val="28"/>
          <w:u w:val="none"/>
          <w:lang w:val="en-US" w:eastAsia="zh-CN"/>
        </w:rPr>
        <w:t>4、招标文件的获取</w:t>
      </w:r>
      <w:bookmarkEnd w:id="69"/>
      <w:bookmarkEnd w:id="70"/>
      <w:bookmarkEnd w:id="71"/>
      <w:bookmarkEnd w:id="72"/>
      <w:bookmarkEnd w:id="73"/>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snapToGrid w:val="0"/>
          <w:color w:val="auto"/>
          <w:kern w:val="0"/>
          <w:sz w:val="28"/>
          <w:szCs w:val="28"/>
        </w:rPr>
      </w:pPr>
      <w:r>
        <w:rPr>
          <w:rFonts w:hint="eastAsia" w:ascii="宋体" w:hAnsi="宋体" w:eastAsia="宋体" w:cs="宋体"/>
          <w:b w:val="0"/>
          <w:bCs w:val="0"/>
          <w:color w:val="auto"/>
          <w:sz w:val="28"/>
          <w:szCs w:val="28"/>
          <w:u w:val="none"/>
          <w:lang w:val="en-US" w:eastAsia="zh-CN"/>
        </w:rPr>
        <w:t xml:space="preserve">4.1 </w:t>
      </w:r>
      <w:r>
        <w:rPr>
          <w:rFonts w:hint="eastAsia" w:ascii="宋体" w:hAnsi="宋体" w:eastAsia="宋体" w:cs="宋体"/>
          <w:snapToGrid w:val="0"/>
          <w:color w:val="auto"/>
          <w:kern w:val="0"/>
          <w:sz w:val="28"/>
          <w:szCs w:val="28"/>
        </w:rPr>
        <w:t>凡有意参加投标者，请于</w:t>
      </w:r>
      <w:r>
        <w:rPr>
          <w:rFonts w:hint="eastAsia" w:ascii="宋体" w:hAnsi="宋体" w:eastAsia="宋体" w:cs="宋体"/>
          <w:color w:val="auto"/>
          <w:kern w:val="2"/>
          <w:sz w:val="28"/>
          <w:szCs w:val="28"/>
          <w:u w:val="single"/>
          <w:lang w:val="en-US" w:eastAsia="zh-CN" w:bidi="ar-SA"/>
        </w:rPr>
        <w:t>2022</w:t>
      </w:r>
      <w:r>
        <w:rPr>
          <w:rFonts w:hint="eastAsia" w:ascii="宋体" w:hAnsi="宋体" w:eastAsia="宋体" w:cs="宋体"/>
          <w:snapToGrid w:val="0"/>
          <w:color w:val="auto"/>
          <w:kern w:val="0"/>
          <w:sz w:val="28"/>
          <w:szCs w:val="28"/>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日起，在</w:t>
      </w:r>
      <w:r>
        <w:rPr>
          <w:rFonts w:hint="eastAsia" w:ascii="宋体" w:hAnsi="宋体" w:eastAsia="宋体" w:cs="宋体"/>
          <w:snapToGrid w:val="0"/>
          <w:color w:val="auto"/>
          <w:kern w:val="0"/>
          <w:sz w:val="28"/>
          <w:szCs w:val="28"/>
          <w:lang w:eastAsia="zh-CN"/>
        </w:rPr>
        <w:t>重庆市建筑科学研究院有限公司</w:t>
      </w:r>
      <w:r>
        <w:rPr>
          <w:rFonts w:hint="eastAsia" w:ascii="宋体" w:hAnsi="宋体" w:cs="宋体"/>
          <w:snapToGrid w:val="0"/>
          <w:color w:val="auto"/>
          <w:kern w:val="0"/>
          <w:sz w:val="28"/>
          <w:szCs w:val="28"/>
          <w:u w:val="none"/>
          <w:lang w:val="en-US" w:eastAsia="zh-CN"/>
        </w:rPr>
        <w:t>网站</w:t>
      </w:r>
      <w:r>
        <w:rPr>
          <w:rFonts w:hint="eastAsia" w:ascii="宋体" w:hAnsi="宋体" w:eastAsia="宋体" w:cs="宋体"/>
          <w:snapToGrid w:val="0"/>
          <w:color w:val="auto"/>
          <w:kern w:val="0"/>
          <w:sz w:val="28"/>
          <w:szCs w:val="28"/>
          <w:lang w:eastAsia="zh-CN"/>
        </w:rPr>
        <w:t>（http://www.cqsjky.com）</w:t>
      </w:r>
      <w:r>
        <w:rPr>
          <w:rFonts w:hint="eastAsia" w:ascii="宋体" w:hAnsi="宋体" w:eastAsia="宋体" w:cs="宋体"/>
          <w:snapToGrid w:val="0"/>
          <w:color w:val="auto"/>
          <w:kern w:val="0"/>
          <w:sz w:val="28"/>
          <w:szCs w:val="28"/>
        </w:rPr>
        <w:t>下载招标文件、图纸、答疑、补遗、招标控制价等开标前的有关资料，不管下载与否都视为投标人全部知晓有关招标过程和事宜。</w:t>
      </w:r>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 xml:space="preserve">4.2 </w:t>
      </w:r>
      <w:r>
        <w:rPr>
          <w:rFonts w:hint="eastAsia" w:ascii="宋体" w:hAnsi="宋体" w:eastAsia="宋体" w:cs="宋体"/>
          <w:snapToGrid w:val="0"/>
          <w:color w:val="auto"/>
          <w:kern w:val="0"/>
          <w:sz w:val="28"/>
          <w:szCs w:val="28"/>
          <w:lang w:eastAsia="zh-CN"/>
        </w:rPr>
        <w:t>本项目需提前报名，</w:t>
      </w:r>
      <w:r>
        <w:rPr>
          <w:rFonts w:hint="eastAsia" w:ascii="宋体" w:hAnsi="宋体" w:eastAsia="宋体" w:cs="宋体"/>
          <w:snapToGrid w:val="0"/>
          <w:color w:val="auto"/>
          <w:kern w:val="0"/>
          <w:sz w:val="28"/>
          <w:szCs w:val="28"/>
        </w:rPr>
        <w:t>凡有意参加投标者，请于</w:t>
      </w:r>
      <w:r>
        <w:rPr>
          <w:rFonts w:hint="eastAsia" w:ascii="宋体" w:hAnsi="宋体" w:eastAsia="宋体" w:cs="宋体"/>
          <w:color w:val="auto"/>
          <w:kern w:val="2"/>
          <w:sz w:val="28"/>
          <w:szCs w:val="28"/>
          <w:u w:val="single"/>
          <w:lang w:val="en-US" w:eastAsia="zh-CN" w:bidi="ar-SA"/>
        </w:rPr>
        <w:t>2022</w:t>
      </w:r>
      <w:r>
        <w:rPr>
          <w:rFonts w:hint="eastAsia" w:ascii="宋体" w:hAnsi="宋体" w:eastAsia="宋体" w:cs="宋体"/>
          <w:snapToGrid w:val="0"/>
          <w:color w:val="auto"/>
          <w:kern w:val="0"/>
          <w:sz w:val="28"/>
          <w:szCs w:val="28"/>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日</w:t>
      </w:r>
      <w:r>
        <w:rPr>
          <w:rFonts w:hint="eastAsia" w:ascii="宋体" w:hAnsi="宋体" w:cs="宋体"/>
          <w:snapToGrid w:val="0"/>
          <w:color w:val="auto"/>
          <w:kern w:val="0"/>
          <w:sz w:val="28"/>
          <w:szCs w:val="28"/>
          <w:lang w:eastAsia="zh-CN"/>
        </w:rPr>
        <w:t>至</w:t>
      </w:r>
      <w:r>
        <w:rPr>
          <w:rFonts w:hint="eastAsia" w:ascii="宋体" w:hAnsi="宋体" w:eastAsia="宋体" w:cs="宋体"/>
          <w:color w:val="auto"/>
          <w:kern w:val="2"/>
          <w:sz w:val="28"/>
          <w:szCs w:val="28"/>
          <w:u w:val="single"/>
          <w:lang w:val="en-US" w:eastAsia="zh-CN" w:bidi="ar-SA"/>
        </w:rPr>
        <w:t>2022</w:t>
      </w:r>
      <w:r>
        <w:rPr>
          <w:rFonts w:hint="eastAsia" w:ascii="宋体" w:hAnsi="宋体" w:eastAsia="宋体" w:cs="宋体"/>
          <w:snapToGrid w:val="0"/>
          <w:color w:val="auto"/>
          <w:kern w:val="0"/>
          <w:sz w:val="28"/>
          <w:szCs w:val="28"/>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8</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snapToGrid w:val="0"/>
          <w:color w:val="auto"/>
          <w:kern w:val="0"/>
          <w:sz w:val="28"/>
          <w:szCs w:val="28"/>
        </w:rPr>
        <w:t>日</w:t>
      </w:r>
      <w:r>
        <w:rPr>
          <w:rFonts w:hint="eastAsia" w:ascii="宋体" w:hAnsi="宋体" w:eastAsia="宋体" w:cs="宋体"/>
          <w:snapToGrid w:val="0"/>
          <w:color w:val="auto"/>
          <w:kern w:val="0"/>
          <w:sz w:val="28"/>
          <w:szCs w:val="28"/>
          <w:lang w:val="en-US" w:eastAsia="zh-CN"/>
        </w:rPr>
        <w:t>（工作日9:30-11:30，14:00-17:00时）携带法人授权委托书、经办人身份证在</w:t>
      </w:r>
      <w:r>
        <w:rPr>
          <w:rFonts w:hint="eastAsia" w:ascii="宋体" w:hAnsi="宋体" w:eastAsia="宋体" w:cs="宋体"/>
          <w:snapToGrid w:val="0"/>
          <w:color w:val="auto"/>
          <w:kern w:val="0"/>
          <w:sz w:val="28"/>
          <w:szCs w:val="28"/>
        </w:rPr>
        <w:t>重庆市渝中区长江二路221号重庆建科大厦1607室</w:t>
      </w:r>
      <w:r>
        <w:rPr>
          <w:rFonts w:hint="eastAsia" w:ascii="宋体" w:hAnsi="宋体" w:eastAsia="宋体" w:cs="宋体"/>
          <w:snapToGrid w:val="0"/>
          <w:color w:val="auto"/>
          <w:kern w:val="0"/>
          <w:sz w:val="28"/>
          <w:szCs w:val="28"/>
          <w:lang w:eastAsia="zh-CN"/>
        </w:rPr>
        <w:t>报名。</w:t>
      </w:r>
    </w:p>
    <w:p>
      <w:pPr>
        <w:pStyle w:val="25"/>
        <w:keepNext w:val="0"/>
        <w:keepLines w:val="0"/>
        <w:pageBreakBefore w:val="0"/>
        <w:widowControl w:val="0"/>
        <w:kinsoku/>
        <w:wordWrap/>
        <w:overflowPunct/>
        <w:topLinePunct w:val="0"/>
        <w:bidi w:val="0"/>
        <w:spacing w:after="0" w:line="360" w:lineRule="auto"/>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4.3 投标人可按照招标公告联系方式</w:t>
      </w:r>
      <w:r>
        <w:rPr>
          <w:rFonts w:hint="eastAsia" w:ascii="宋体" w:hAnsi="宋体" w:cs="宋体"/>
          <w:color w:val="auto"/>
          <w:sz w:val="28"/>
          <w:szCs w:val="28"/>
          <w:lang w:val="en-US" w:eastAsia="zh-CN"/>
        </w:rPr>
        <w:t>以书面形式</w:t>
      </w:r>
      <w:r>
        <w:rPr>
          <w:rFonts w:hint="eastAsia" w:ascii="宋体" w:hAnsi="宋体" w:eastAsia="宋体" w:cs="宋体"/>
          <w:color w:val="auto"/>
          <w:sz w:val="28"/>
          <w:szCs w:val="28"/>
          <w:lang w:val="en-US" w:eastAsia="zh-CN"/>
        </w:rPr>
        <w:t>提出疑问，提问时间从本公告发布至</w:t>
      </w:r>
      <w:r>
        <w:rPr>
          <w:rFonts w:hint="eastAsia" w:ascii="宋体" w:hAnsi="宋体" w:eastAsia="宋体" w:cs="宋体"/>
          <w:color w:val="auto"/>
          <w:sz w:val="28"/>
          <w:szCs w:val="28"/>
          <w:u w:val="single"/>
          <w:lang w:val="en-US" w:eastAsia="zh-CN"/>
        </w:rPr>
        <w:t>2022</w:t>
      </w:r>
      <w:r>
        <w:rPr>
          <w:rFonts w:hint="eastAsia" w:ascii="宋体" w:hAnsi="宋体" w:eastAsia="宋体" w:cs="宋体"/>
          <w:color w:val="auto"/>
          <w:sz w:val="28"/>
          <w:szCs w:val="28"/>
          <w:lang w:val="en-US" w:eastAsia="zh-CN"/>
        </w:rPr>
        <w:t>年</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月</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日前。</w:t>
      </w:r>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snapToGrid w:val="0"/>
          <w:color w:val="auto"/>
          <w:kern w:val="0"/>
          <w:sz w:val="28"/>
          <w:szCs w:val="28"/>
          <w:lang w:val="en-US" w:eastAsia="zh-CN"/>
        </w:rPr>
      </w:pPr>
      <w:r>
        <w:rPr>
          <w:rFonts w:hint="eastAsia" w:ascii="宋体" w:hAnsi="宋体" w:eastAsia="宋体" w:cs="宋体"/>
          <w:color w:val="auto"/>
          <w:sz w:val="28"/>
          <w:szCs w:val="28"/>
          <w:lang w:val="en-US" w:eastAsia="zh-CN"/>
        </w:rPr>
        <w:t>4.4 招标人应于</w:t>
      </w:r>
      <w:r>
        <w:rPr>
          <w:rFonts w:hint="eastAsia" w:ascii="宋体" w:hAnsi="宋体" w:eastAsia="宋体" w:cs="宋体"/>
          <w:color w:val="auto"/>
          <w:sz w:val="28"/>
          <w:szCs w:val="28"/>
          <w:u w:val="single"/>
          <w:lang w:val="en-US" w:eastAsia="zh-CN"/>
        </w:rPr>
        <w:t>2022</w:t>
      </w:r>
      <w:r>
        <w:rPr>
          <w:rFonts w:hint="eastAsia" w:ascii="宋体" w:hAnsi="宋体" w:eastAsia="宋体" w:cs="宋体"/>
          <w:color w:val="auto"/>
          <w:sz w:val="28"/>
          <w:szCs w:val="28"/>
          <w:lang w:val="en-US" w:eastAsia="zh-CN"/>
        </w:rPr>
        <w:t>年</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月</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日前在</w:t>
      </w:r>
      <w:r>
        <w:rPr>
          <w:rFonts w:hint="eastAsia" w:ascii="宋体" w:hAnsi="宋体" w:eastAsia="宋体" w:cs="宋体"/>
          <w:snapToGrid w:val="0"/>
          <w:color w:val="auto"/>
          <w:kern w:val="0"/>
          <w:sz w:val="28"/>
          <w:szCs w:val="28"/>
          <w:lang w:eastAsia="zh-CN"/>
        </w:rPr>
        <w:t>重庆市建筑科学研究院有限公司</w:t>
      </w:r>
      <w:r>
        <w:rPr>
          <w:rFonts w:hint="eastAsia" w:ascii="宋体" w:hAnsi="宋体" w:cs="宋体"/>
          <w:snapToGrid w:val="0"/>
          <w:color w:val="auto"/>
          <w:kern w:val="0"/>
          <w:sz w:val="28"/>
          <w:szCs w:val="28"/>
          <w:u w:val="none"/>
          <w:lang w:val="en-US" w:eastAsia="zh-CN"/>
        </w:rPr>
        <w:t>网站</w:t>
      </w:r>
      <w:r>
        <w:rPr>
          <w:rFonts w:hint="eastAsia" w:ascii="宋体" w:hAnsi="宋体" w:eastAsia="宋体" w:cs="宋体"/>
          <w:snapToGrid w:val="0"/>
          <w:color w:val="auto"/>
          <w:kern w:val="0"/>
          <w:sz w:val="28"/>
          <w:szCs w:val="28"/>
          <w:lang w:eastAsia="zh-CN"/>
        </w:rPr>
        <w:t>（http://www.cqsjky.com）</w:t>
      </w:r>
      <w:r>
        <w:rPr>
          <w:rFonts w:hint="eastAsia" w:ascii="宋体" w:hAnsi="宋体" w:eastAsia="宋体" w:cs="宋体"/>
          <w:snapToGrid w:val="0"/>
          <w:color w:val="auto"/>
          <w:kern w:val="0"/>
          <w:sz w:val="28"/>
          <w:szCs w:val="28"/>
          <w:lang w:val="en-US" w:eastAsia="zh-CN"/>
        </w:rPr>
        <w:t>发布澄清。</w:t>
      </w: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color w:val="auto"/>
          <w:lang w:val="en-US" w:eastAsia="zh-CN"/>
        </w:rPr>
      </w:pPr>
      <w:bookmarkStart w:id="74" w:name="_Toc4709"/>
      <w:bookmarkStart w:id="75" w:name="_Toc4328"/>
      <w:bookmarkStart w:id="76" w:name="_Toc1634"/>
      <w:bookmarkStart w:id="77" w:name="_Toc12712"/>
      <w:bookmarkStart w:id="78" w:name="_Toc15438"/>
      <w:r>
        <w:rPr>
          <w:rFonts w:hint="eastAsia" w:ascii="宋体" w:hAnsi="宋体" w:eastAsia="宋体" w:cs="宋体"/>
          <w:b/>
          <w:bCs/>
          <w:color w:val="auto"/>
          <w:sz w:val="28"/>
          <w:szCs w:val="28"/>
          <w:u w:val="none"/>
          <w:lang w:val="en-US" w:eastAsia="zh-CN"/>
        </w:rPr>
        <w:t>5、投标文件的递交</w:t>
      </w:r>
      <w:bookmarkEnd w:id="74"/>
      <w:bookmarkEnd w:id="75"/>
      <w:bookmarkEnd w:id="76"/>
      <w:bookmarkEnd w:id="77"/>
      <w:bookmarkEnd w:id="78"/>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5.1 投标文件递交的截止时间（投标截止时间，下同）为</w:t>
      </w:r>
      <w:r>
        <w:rPr>
          <w:rFonts w:hint="eastAsia" w:ascii="宋体" w:hAnsi="宋体" w:eastAsia="宋体" w:cs="宋体"/>
          <w:color w:val="auto"/>
          <w:sz w:val="28"/>
          <w:szCs w:val="28"/>
          <w:u w:val="single"/>
          <w:lang w:val="en-US" w:eastAsia="zh-CN"/>
        </w:rPr>
        <w:t>2022</w:t>
      </w:r>
      <w:r>
        <w:rPr>
          <w:rFonts w:hint="eastAsia" w:ascii="宋体" w:hAnsi="宋体" w:eastAsia="宋体" w:cs="宋体"/>
          <w:color w:val="auto"/>
          <w:sz w:val="28"/>
          <w:szCs w:val="28"/>
          <w:lang w:val="en-US" w:eastAsia="zh-CN"/>
        </w:rPr>
        <w:t>年</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月</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9</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时</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u w:val="none"/>
          <w:lang w:val="en-US" w:eastAsia="zh-CN"/>
        </w:rPr>
        <w:t>投标人</w:t>
      </w:r>
      <w:r>
        <w:rPr>
          <w:rFonts w:hint="eastAsia" w:ascii="宋体" w:hAnsi="宋体" w:cs="宋体"/>
          <w:color w:val="auto"/>
          <w:sz w:val="28"/>
          <w:szCs w:val="28"/>
          <w:u w:val="none"/>
          <w:lang w:val="en-US" w:eastAsia="zh-CN"/>
        </w:rPr>
        <w:t>递交投标文件</w:t>
      </w:r>
      <w:r>
        <w:rPr>
          <w:rFonts w:hint="eastAsia" w:ascii="宋体" w:hAnsi="宋体" w:eastAsia="宋体" w:cs="宋体"/>
          <w:color w:val="auto"/>
          <w:sz w:val="28"/>
          <w:szCs w:val="28"/>
          <w:lang w:val="en-US" w:eastAsia="zh-CN"/>
        </w:rPr>
        <w:t>应当在投标截止时间前。</w:t>
      </w:r>
    </w:p>
    <w:p>
      <w:pPr>
        <w:keepNext w:val="0"/>
        <w:keepLines w:val="0"/>
        <w:pageBreakBefore w:val="0"/>
        <w:widowControl w:val="0"/>
        <w:kinsoku/>
        <w:wordWrap/>
        <w:overflowPunct/>
        <w:topLinePunct w:val="0"/>
        <w:bidi w:val="0"/>
        <w:spacing w:line="360" w:lineRule="auto"/>
        <w:ind w:firstLine="560" w:firstLineChars="200"/>
        <w:outlineLvl w:val="9"/>
        <w:rPr>
          <w:rFonts w:hint="eastAsia" w:ascii="宋体" w:hAnsi="宋体" w:eastAsia="宋体" w:cs="宋体"/>
          <w:color w:val="auto"/>
          <w:sz w:val="28"/>
          <w:szCs w:val="28"/>
          <w:lang w:val="en-US" w:eastAsia="zh-CN"/>
        </w:rPr>
      </w:pPr>
      <w:bookmarkStart w:id="79" w:name="_Toc29167"/>
      <w:r>
        <w:rPr>
          <w:rFonts w:hint="eastAsia" w:ascii="宋体" w:hAnsi="宋体" w:eastAsia="宋体" w:cs="宋体"/>
          <w:color w:val="auto"/>
          <w:sz w:val="28"/>
          <w:szCs w:val="28"/>
          <w:lang w:val="en-US" w:eastAsia="zh-CN"/>
        </w:rPr>
        <w:t>5.2 提交投标文件的地点：重庆市建科大厦1607室。</w:t>
      </w:r>
      <w:bookmarkEnd w:id="79"/>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 未按指定时间送达的或者未送达指定地点或未按规定密封的投标文件，招标人不予受理。</w:t>
      </w:r>
    </w:p>
    <w:bookmarkEnd w:id="41"/>
    <w:bookmarkEnd w:id="42"/>
    <w:bookmarkEnd w:id="43"/>
    <w:bookmarkEnd w:id="44"/>
    <w:bookmarkEnd w:id="45"/>
    <w:bookmarkEnd w:id="46"/>
    <w:bookmarkEnd w:id="47"/>
    <w:bookmarkEnd w:id="48"/>
    <w:bookmarkEnd w:id="49"/>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80" w:name="_Toc26716"/>
      <w:bookmarkStart w:id="81" w:name="_Toc16553"/>
      <w:bookmarkStart w:id="82" w:name="_Toc4878"/>
      <w:bookmarkStart w:id="83" w:name="_Toc8305"/>
      <w:bookmarkStart w:id="84" w:name="_Toc12052"/>
      <w:r>
        <w:rPr>
          <w:rFonts w:hint="eastAsia" w:ascii="宋体" w:hAnsi="宋体" w:eastAsia="宋体" w:cs="宋体"/>
          <w:b/>
          <w:bCs/>
          <w:color w:val="auto"/>
          <w:sz w:val="28"/>
          <w:szCs w:val="28"/>
          <w:u w:val="none"/>
          <w:lang w:val="en-US" w:eastAsia="zh-CN"/>
        </w:rPr>
        <w:t>6、投标文件装订要求</w:t>
      </w:r>
      <w:bookmarkEnd w:id="80"/>
      <w:bookmarkEnd w:id="81"/>
      <w:bookmarkEnd w:id="82"/>
      <w:bookmarkEnd w:id="83"/>
      <w:bookmarkEnd w:id="84"/>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投标文件一式叁份。</w:t>
      </w:r>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投标文件按目录装订。</w:t>
      </w:r>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6.3</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投标文件自行封装，密封并在封口密封条处加盖投标人单位公章。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both"/>
        <w:textAlignment w:val="auto"/>
        <w:outlineLvl w:val="2"/>
        <w:rPr>
          <w:rFonts w:hint="eastAsia" w:ascii="宋体" w:hAnsi="宋体" w:eastAsia="宋体" w:cs="宋体"/>
          <w:b/>
          <w:bCs/>
          <w:color w:val="auto"/>
          <w:sz w:val="28"/>
          <w:szCs w:val="28"/>
          <w:u w:val="none"/>
          <w:lang w:val="en-US" w:eastAsia="zh-CN"/>
        </w:rPr>
      </w:pPr>
      <w:bookmarkStart w:id="85" w:name="_Toc224103305"/>
      <w:bookmarkStart w:id="86" w:name="_Toc287607734"/>
      <w:bookmarkStart w:id="87" w:name="_Toc18094"/>
      <w:bookmarkStart w:id="88" w:name="_Toc509218698"/>
      <w:bookmarkStart w:id="89" w:name="_Toc16112"/>
      <w:bookmarkStart w:id="90" w:name="_Toc24124"/>
      <w:bookmarkStart w:id="91" w:name="_Toc430530422"/>
      <w:bookmarkStart w:id="92" w:name="_Toc277082542"/>
      <w:bookmarkStart w:id="93" w:name="_Toc4871"/>
      <w:bookmarkStart w:id="94" w:name="_Toc95830663"/>
      <w:bookmarkStart w:id="95" w:name="_Toc10421"/>
      <w:bookmarkStart w:id="96" w:name="_Toc287620673"/>
      <w:r>
        <w:rPr>
          <w:rFonts w:hint="eastAsia" w:ascii="宋体" w:hAnsi="宋体" w:eastAsia="宋体" w:cs="宋体"/>
          <w:b/>
          <w:bCs/>
          <w:color w:val="auto"/>
          <w:sz w:val="28"/>
          <w:szCs w:val="28"/>
          <w:u w:val="none"/>
          <w:lang w:val="en-US" w:eastAsia="zh-CN"/>
        </w:rPr>
        <w:t>7</w:t>
      </w:r>
      <w:r>
        <w:rPr>
          <w:rFonts w:hint="eastAsia" w:ascii="宋体" w:hAnsi="宋体" w:cs="宋体"/>
          <w:b/>
          <w:bCs/>
          <w:color w:val="auto"/>
          <w:sz w:val="28"/>
          <w:szCs w:val="28"/>
          <w:u w:val="none"/>
          <w:lang w:val="en-US" w:eastAsia="zh-CN"/>
        </w:rPr>
        <w:t>、</w:t>
      </w:r>
      <w:r>
        <w:rPr>
          <w:rFonts w:hint="eastAsia" w:ascii="宋体" w:hAnsi="宋体" w:eastAsia="宋体" w:cs="宋体"/>
          <w:b/>
          <w:bCs/>
          <w:color w:val="auto"/>
          <w:sz w:val="28"/>
          <w:szCs w:val="28"/>
          <w:u w:val="none"/>
          <w:lang w:val="en-US" w:eastAsia="zh-CN"/>
        </w:rPr>
        <w:t>联系方式</w:t>
      </w:r>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bidi w:val="0"/>
        <w:spacing w:line="360" w:lineRule="auto"/>
        <w:ind w:firstLine="560" w:firstLineChars="200"/>
        <w:outlineLvl w:val="9"/>
        <w:rPr>
          <w:rFonts w:hint="eastAsia" w:ascii="宋体" w:hAnsi="宋体" w:eastAsia="宋体" w:cs="宋体"/>
          <w:color w:val="auto"/>
          <w:sz w:val="28"/>
          <w:szCs w:val="28"/>
          <w:lang w:val="en-US" w:eastAsia="zh-CN"/>
        </w:rPr>
      </w:pPr>
      <w:bookmarkStart w:id="97" w:name="_Toc1427"/>
      <w:bookmarkStart w:id="98" w:name="_Toc23279"/>
      <w:bookmarkStart w:id="99" w:name="_Toc870"/>
      <w:bookmarkStart w:id="100" w:name="_Toc17816"/>
      <w:r>
        <w:rPr>
          <w:rFonts w:hint="eastAsia" w:ascii="宋体" w:hAnsi="宋体" w:eastAsia="宋体" w:cs="宋体"/>
          <w:color w:val="auto"/>
          <w:sz w:val="28"/>
          <w:szCs w:val="28"/>
          <w:lang w:val="en-US" w:eastAsia="zh-CN"/>
        </w:rPr>
        <w:t>招 标 人：重庆市建筑科学研究院有限公司</w:t>
      </w:r>
      <w:bookmarkEnd w:id="97"/>
      <w:bookmarkEnd w:id="98"/>
      <w:bookmarkEnd w:id="99"/>
      <w:bookmarkEnd w:id="100"/>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址：重庆市渝中区长江二路221号重庆建科大厦1607室</w:t>
      </w:r>
    </w:p>
    <w:p>
      <w:pPr>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w:t>
      </w:r>
      <w:r>
        <w:rPr>
          <w:rFonts w:hint="eastAsia" w:ascii="宋体" w:hAnsi="宋体" w:cs="宋体"/>
          <w:color w:val="auto"/>
          <w:sz w:val="28"/>
          <w:szCs w:val="28"/>
          <w:lang w:val="en-US" w:eastAsia="zh-CN"/>
        </w:rPr>
        <w:t>吴</w:t>
      </w:r>
      <w:r>
        <w:rPr>
          <w:rFonts w:hint="eastAsia" w:ascii="宋体" w:hAnsi="宋体" w:eastAsia="宋体" w:cs="宋体"/>
          <w:color w:val="auto"/>
          <w:sz w:val="28"/>
          <w:szCs w:val="28"/>
          <w:lang w:val="en-US" w:eastAsia="zh-CN"/>
        </w:rPr>
        <w:t>老师</w:t>
      </w:r>
    </w:p>
    <w:p>
      <w:pPr>
        <w:keepNext w:val="0"/>
        <w:keepLines w:val="0"/>
        <w:pageBreakBefore w:val="0"/>
        <w:widowControl w:val="0"/>
        <w:kinsoku/>
        <w:wordWrap/>
        <w:overflowPunct/>
        <w:topLinePunct w:val="0"/>
        <w:bidi w:val="0"/>
        <w:spacing w:line="360" w:lineRule="auto"/>
        <w:ind w:firstLine="560" w:firstLineChars="200"/>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13330388876</w:t>
      </w:r>
    </w:p>
    <w:p>
      <w:pPr>
        <w:keepNext w:val="0"/>
        <w:keepLines w:val="0"/>
        <w:pageBreakBefore w:val="0"/>
        <w:widowControl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箱</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304854158@qq.com</w:t>
      </w:r>
    </w:p>
    <w:p>
      <w:pPr>
        <w:rPr>
          <w:rFonts w:hint="eastAsia" w:ascii="宋体" w:hAnsi="宋体" w:eastAsia="宋体" w:cs="宋体"/>
          <w:color w:val="auto"/>
          <w:lang w:val="en-US" w:eastAsia="zh-CN"/>
        </w:rPr>
      </w:pPr>
    </w:p>
    <w:p>
      <w:pPr>
        <w:pStyle w:val="25"/>
        <w:rPr>
          <w:rFonts w:hint="eastAsia"/>
          <w:color w:val="auto"/>
          <w:lang w:val="en-US" w:eastAsia="zh-CN"/>
        </w:rPr>
      </w:pPr>
    </w:p>
    <w:bookmarkEnd w:id="50"/>
    <w:p>
      <w:pPr>
        <w:tabs>
          <w:tab w:val="left" w:pos="5140"/>
          <w:tab w:val="left" w:pos="8420"/>
        </w:tabs>
        <w:autoSpaceDE w:val="0"/>
        <w:autoSpaceDN w:val="0"/>
        <w:adjustRightInd w:val="0"/>
        <w:snapToGrid w:val="0"/>
        <w:spacing w:line="420" w:lineRule="exact"/>
        <w:ind w:firstLine="560" w:firstLineChars="200"/>
        <w:rPr>
          <w:rFonts w:hint="eastAsia" w:ascii="宋体" w:hAnsi="宋体" w:eastAsia="宋体" w:cs="宋体"/>
          <w:snapToGrid w:val="0"/>
          <w:color w:val="auto"/>
          <w:kern w:val="0"/>
          <w:sz w:val="28"/>
          <w:szCs w:val="28"/>
        </w:rPr>
      </w:pPr>
    </w:p>
    <w:p>
      <w:pPr>
        <w:pStyle w:val="2"/>
        <w:spacing w:after="0" w:line="420" w:lineRule="exact"/>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重庆市建筑科学研究院有限公司</w:t>
      </w:r>
    </w:p>
    <w:p>
      <w:pPr>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 xml:space="preserve">2022年 </w:t>
      </w:r>
      <w:r>
        <w:rPr>
          <w:rFonts w:hint="eastAsia" w:ascii="宋体" w:hAnsi="宋体" w:cs="宋体"/>
          <w:b/>
          <w:bCs/>
          <w:snapToGrid w:val="0"/>
          <w:color w:val="auto"/>
          <w:kern w:val="0"/>
          <w:sz w:val="28"/>
          <w:szCs w:val="28"/>
          <w:lang w:val="en-US" w:eastAsia="zh-CN"/>
        </w:rPr>
        <w:t>8</w:t>
      </w:r>
      <w:r>
        <w:rPr>
          <w:rFonts w:hint="eastAsia" w:ascii="宋体" w:hAnsi="宋体" w:eastAsia="宋体" w:cs="宋体"/>
          <w:b/>
          <w:bCs/>
          <w:snapToGrid w:val="0"/>
          <w:color w:val="auto"/>
          <w:kern w:val="0"/>
          <w:sz w:val="28"/>
          <w:szCs w:val="28"/>
          <w:lang w:val="en-US" w:eastAsia="zh-CN"/>
        </w:rPr>
        <w:t xml:space="preserve"> 月 </w:t>
      </w:r>
      <w:r>
        <w:rPr>
          <w:rFonts w:hint="eastAsia" w:ascii="宋体" w:hAnsi="宋体" w:cs="宋体"/>
          <w:b/>
          <w:bCs/>
          <w:snapToGrid w:val="0"/>
          <w:color w:val="auto"/>
          <w:kern w:val="0"/>
          <w:sz w:val="28"/>
          <w:szCs w:val="28"/>
          <w:lang w:val="en-US" w:eastAsia="zh-CN"/>
        </w:rPr>
        <w:t>2</w:t>
      </w:r>
      <w:r>
        <w:rPr>
          <w:rFonts w:hint="eastAsia" w:ascii="宋体" w:hAnsi="宋体" w:eastAsia="宋体" w:cs="宋体"/>
          <w:b/>
          <w:bCs/>
          <w:snapToGrid w:val="0"/>
          <w:color w:val="auto"/>
          <w:kern w:val="0"/>
          <w:sz w:val="28"/>
          <w:szCs w:val="28"/>
          <w:lang w:val="en-US" w:eastAsia="zh-CN"/>
        </w:rPr>
        <w:t xml:space="preserve"> 日</w:t>
      </w:r>
    </w:p>
    <w:p>
      <w:pPr>
        <w:pStyle w:val="25"/>
        <w:rPr>
          <w:rFonts w:hint="eastAsia" w:ascii="宋体" w:hAnsi="宋体" w:eastAsia="宋体" w:cs="宋体"/>
          <w:b/>
          <w:bCs/>
          <w:snapToGrid w:val="0"/>
          <w:color w:val="auto"/>
          <w:kern w:val="0"/>
          <w:sz w:val="28"/>
          <w:szCs w:val="28"/>
          <w:lang w:val="en-US" w:eastAsia="zh-CN"/>
        </w:rPr>
      </w:pPr>
    </w:p>
    <w:p>
      <w:pPr>
        <w:rPr>
          <w:rFonts w:hint="eastAsia"/>
          <w:color w:val="auto"/>
          <w:lang w:val="en-US" w:eastAsia="zh-CN"/>
        </w:rPr>
      </w:pPr>
    </w:p>
    <w:p>
      <w:pPr>
        <w:spacing w:line="420" w:lineRule="exact"/>
        <w:rPr>
          <w:rFonts w:ascii="宋体" w:hAnsi="宋体"/>
          <w:color w:val="auto"/>
        </w:rPr>
      </w:pPr>
    </w:p>
    <w:p>
      <w:pPr>
        <w:pStyle w:val="2"/>
        <w:spacing w:after="0" w:line="420" w:lineRule="exact"/>
        <w:rPr>
          <w:rFonts w:ascii="宋体" w:hAnsi="宋体"/>
          <w:color w:val="auto"/>
        </w:rPr>
      </w:pPr>
    </w:p>
    <w:p>
      <w:pPr>
        <w:spacing w:line="420" w:lineRule="exact"/>
        <w:rPr>
          <w:rFonts w:ascii="宋体" w:hAnsi="宋体"/>
          <w:color w:val="auto"/>
        </w:rPr>
      </w:pPr>
    </w:p>
    <w:p>
      <w:pPr>
        <w:pStyle w:val="4"/>
        <w:spacing w:line="360" w:lineRule="auto"/>
        <w:jc w:val="center"/>
        <w:rPr>
          <w:rFonts w:ascii="宋体" w:hAnsi="宋体"/>
          <w:bCs w:val="0"/>
          <w:snapToGrid w:val="0"/>
          <w:color w:val="auto"/>
          <w:kern w:val="0"/>
        </w:rPr>
      </w:pPr>
      <w:bookmarkStart w:id="101" w:name="_Toc430530432"/>
      <w:bookmarkStart w:id="102" w:name="_Toc30072"/>
      <w:bookmarkStart w:id="103" w:name="_Toc479"/>
      <w:bookmarkStart w:id="104" w:name="_Toc287620683"/>
      <w:bookmarkStart w:id="105" w:name="_Toc19586"/>
      <w:bookmarkStart w:id="106" w:name="_Toc11017"/>
      <w:bookmarkStart w:id="107" w:name="_Toc287607744"/>
      <w:bookmarkStart w:id="108" w:name="_Toc224103315"/>
      <w:bookmarkStart w:id="109" w:name="_Toc95830664"/>
      <w:bookmarkStart w:id="110" w:name="_Toc18087"/>
      <w:r>
        <w:rPr>
          <w:rFonts w:ascii="宋体" w:hAnsi="宋体"/>
          <w:snapToGrid w:val="0"/>
          <w:color w:val="auto"/>
          <w:kern w:val="0"/>
        </w:rPr>
        <w:t>第二章  投标人须知</w:t>
      </w:r>
      <w:bookmarkEnd w:id="101"/>
      <w:bookmarkEnd w:id="102"/>
      <w:bookmarkEnd w:id="103"/>
      <w:bookmarkEnd w:id="104"/>
      <w:bookmarkEnd w:id="105"/>
      <w:bookmarkEnd w:id="106"/>
      <w:bookmarkEnd w:id="107"/>
      <w:bookmarkEnd w:id="108"/>
      <w:bookmarkEnd w:id="109"/>
      <w:bookmarkEnd w:id="110"/>
      <w:bookmarkStart w:id="111" w:name="_Toc287620684"/>
      <w:bookmarkStart w:id="112" w:name="_Toc277082551"/>
      <w:bookmarkStart w:id="113" w:name="_Toc287607745"/>
      <w:bookmarkStart w:id="114" w:name="_Toc224103316"/>
      <w:bookmarkStart w:id="115" w:name="_Toc430530433"/>
    </w:p>
    <w:p>
      <w:pPr>
        <w:pStyle w:val="5"/>
        <w:spacing w:before="0" w:after="0" w:line="420" w:lineRule="exact"/>
        <w:jc w:val="center"/>
        <w:rPr>
          <w:rFonts w:ascii="宋体" w:hAnsi="宋体"/>
          <w:color w:val="auto"/>
        </w:rPr>
      </w:pPr>
      <w:bookmarkStart w:id="116" w:name="_Toc28213"/>
      <w:bookmarkStart w:id="117" w:name="_Toc11321"/>
      <w:bookmarkStart w:id="118" w:name="_Toc509218708"/>
      <w:bookmarkStart w:id="119" w:name="_Toc28796"/>
      <w:bookmarkStart w:id="120" w:name="_Toc31951"/>
      <w:bookmarkStart w:id="121" w:name="_Toc95830665"/>
      <w:bookmarkStart w:id="122" w:name="_Toc10285"/>
      <w:r>
        <w:rPr>
          <w:rFonts w:hint="eastAsia" w:ascii="宋体" w:hAnsi="宋体"/>
          <w:color w:val="auto"/>
        </w:rPr>
        <w:t>投标人须知前附表</w:t>
      </w:r>
      <w:bookmarkEnd w:id="111"/>
      <w:bookmarkEnd w:id="112"/>
      <w:bookmarkEnd w:id="113"/>
      <w:bookmarkEnd w:id="114"/>
      <w:bookmarkEnd w:id="115"/>
      <w:bookmarkEnd w:id="116"/>
      <w:bookmarkEnd w:id="117"/>
      <w:bookmarkEnd w:id="118"/>
      <w:bookmarkEnd w:id="119"/>
      <w:bookmarkEnd w:id="120"/>
      <w:bookmarkEnd w:id="121"/>
      <w:bookmarkEnd w:id="122"/>
    </w:p>
    <w:p>
      <w:pPr>
        <w:spacing w:line="420" w:lineRule="exact"/>
        <w:ind w:firstLine="420" w:firstLineChars="200"/>
        <w:rPr>
          <w:rFonts w:ascii="宋体" w:hAnsi="宋体"/>
          <w:color w:val="auto"/>
          <w:szCs w:val="21"/>
        </w:rPr>
      </w:pPr>
      <w:r>
        <w:rPr>
          <w:rFonts w:ascii="宋体" w:hAnsi="宋体"/>
          <w:color w:val="auto"/>
          <w:szCs w:val="21"/>
        </w:rPr>
        <w:t>若投标人须知前附表与正文不一致的地方，以投标人须知前附表为准。</w:t>
      </w:r>
    </w:p>
    <w:tbl>
      <w:tblPr>
        <w:tblStyle w:val="19"/>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60"/>
        <w:gridCol w:w="6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4" w:type="dxa"/>
            <w:vAlign w:val="center"/>
          </w:tcPr>
          <w:p>
            <w:pPr>
              <w:snapToGrid w:val="0"/>
              <w:spacing w:line="420" w:lineRule="exact"/>
              <w:jc w:val="center"/>
              <w:rPr>
                <w:rFonts w:ascii="宋体" w:hAnsi="宋体"/>
                <w:b/>
                <w:color w:val="auto"/>
                <w:kern w:val="0"/>
                <w:szCs w:val="21"/>
              </w:rPr>
            </w:pPr>
            <w:r>
              <w:rPr>
                <w:rFonts w:ascii="宋体" w:hAnsi="宋体"/>
                <w:b/>
                <w:color w:val="auto"/>
                <w:kern w:val="0"/>
                <w:szCs w:val="21"/>
              </w:rPr>
              <w:t>条 款 号</w:t>
            </w:r>
          </w:p>
        </w:tc>
        <w:tc>
          <w:tcPr>
            <w:tcW w:w="1560" w:type="dxa"/>
            <w:vAlign w:val="center"/>
          </w:tcPr>
          <w:p>
            <w:pPr>
              <w:snapToGrid w:val="0"/>
              <w:spacing w:line="420" w:lineRule="exact"/>
              <w:jc w:val="center"/>
              <w:rPr>
                <w:rFonts w:ascii="宋体" w:hAnsi="宋体"/>
                <w:b/>
                <w:color w:val="auto"/>
                <w:kern w:val="0"/>
                <w:szCs w:val="21"/>
              </w:rPr>
            </w:pPr>
            <w:r>
              <w:rPr>
                <w:rFonts w:ascii="宋体" w:hAnsi="宋体"/>
                <w:b/>
                <w:color w:val="auto"/>
                <w:kern w:val="0"/>
                <w:szCs w:val="21"/>
              </w:rPr>
              <w:t>条款名称</w:t>
            </w:r>
          </w:p>
        </w:tc>
        <w:tc>
          <w:tcPr>
            <w:tcW w:w="6785" w:type="dxa"/>
            <w:vAlign w:val="center"/>
          </w:tcPr>
          <w:p>
            <w:pPr>
              <w:snapToGrid w:val="0"/>
              <w:spacing w:line="420" w:lineRule="exact"/>
              <w:jc w:val="center"/>
              <w:rPr>
                <w:rFonts w:ascii="宋体" w:hAnsi="宋体"/>
                <w:b/>
                <w:color w:val="auto"/>
                <w:kern w:val="0"/>
                <w:szCs w:val="21"/>
              </w:rPr>
            </w:pPr>
            <w:r>
              <w:rPr>
                <w:rFonts w:ascii="宋体" w:hAnsi="宋体"/>
                <w:b/>
                <w:color w:val="auto"/>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1.1.2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招标人</w:t>
            </w:r>
          </w:p>
        </w:tc>
        <w:tc>
          <w:tcPr>
            <w:tcW w:w="6785" w:type="dxa"/>
            <w:vAlign w:val="center"/>
          </w:tcPr>
          <w:p>
            <w:pPr>
              <w:spacing w:line="420" w:lineRule="exact"/>
              <w:ind w:firstLine="420" w:firstLineChars="200"/>
              <w:rPr>
                <w:rFonts w:hint="default"/>
                <w:color w:val="auto"/>
                <w:lang w:val="en-US" w:eastAsia="zh-CN"/>
              </w:rPr>
            </w:pPr>
            <w:r>
              <w:rPr>
                <w:rFonts w:hint="eastAsia"/>
                <w:color w:val="auto"/>
              </w:rPr>
              <w:t>招 标 人：</w:t>
            </w:r>
            <w:r>
              <w:rPr>
                <w:rFonts w:hint="eastAsia"/>
                <w:color w:val="auto"/>
                <w:lang w:val="en-US" w:eastAsia="zh-CN"/>
              </w:rPr>
              <w:t>重庆市建筑科学研究院有限公司</w:t>
            </w:r>
          </w:p>
          <w:p>
            <w:pPr>
              <w:tabs>
                <w:tab w:val="left" w:pos="5140"/>
                <w:tab w:val="left" w:pos="8420"/>
              </w:tabs>
              <w:autoSpaceDE w:val="0"/>
              <w:autoSpaceDN w:val="0"/>
              <w:adjustRightInd w:val="0"/>
              <w:snapToGrid w:val="0"/>
              <w:spacing w:line="420" w:lineRule="exact"/>
              <w:ind w:firstLine="420" w:firstLineChars="200"/>
              <w:rPr>
                <w:rFonts w:hint="default"/>
                <w:color w:val="auto"/>
                <w:lang w:val="en-US" w:eastAsia="zh-CN"/>
              </w:rPr>
            </w:pPr>
            <w:r>
              <w:rPr>
                <w:color w:val="auto"/>
              </w:rPr>
              <w:t>地    址：</w:t>
            </w:r>
            <w:r>
              <w:rPr>
                <w:rFonts w:hint="eastAsia"/>
                <w:color w:val="auto"/>
                <w:lang w:val="en-US" w:eastAsia="zh-CN"/>
              </w:rPr>
              <w:t>重庆市渝中区长江二路221号重庆建科大厦1607室</w:t>
            </w:r>
          </w:p>
          <w:p>
            <w:pPr>
              <w:tabs>
                <w:tab w:val="left" w:pos="5140"/>
                <w:tab w:val="left" w:pos="8420"/>
              </w:tabs>
              <w:autoSpaceDE w:val="0"/>
              <w:autoSpaceDN w:val="0"/>
              <w:adjustRightInd w:val="0"/>
              <w:snapToGrid w:val="0"/>
              <w:spacing w:line="420" w:lineRule="exact"/>
              <w:ind w:firstLine="420" w:firstLineChars="200"/>
              <w:rPr>
                <w:color w:val="auto"/>
              </w:rPr>
            </w:pPr>
            <w:r>
              <w:rPr>
                <w:color w:val="auto"/>
              </w:rPr>
              <w:t>联 系 人</w:t>
            </w:r>
            <w:r>
              <w:rPr>
                <w:rFonts w:hint="eastAsia"/>
                <w:color w:val="auto"/>
              </w:rPr>
              <w:t>：</w:t>
            </w:r>
            <w:r>
              <w:rPr>
                <w:rFonts w:hint="eastAsia"/>
                <w:color w:val="auto"/>
                <w:lang w:val="en-US" w:eastAsia="zh-CN"/>
              </w:rPr>
              <w:t>吴</w:t>
            </w:r>
            <w:r>
              <w:rPr>
                <w:rFonts w:hint="eastAsia"/>
                <w:color w:val="auto"/>
              </w:rPr>
              <w:t>先生</w:t>
            </w:r>
          </w:p>
          <w:p>
            <w:pPr>
              <w:snapToGrid w:val="0"/>
              <w:spacing w:line="420" w:lineRule="exact"/>
              <w:ind w:firstLine="420" w:firstLineChars="200"/>
              <w:rPr>
                <w:rFonts w:hint="eastAsia"/>
                <w:color w:val="auto"/>
                <w:lang w:val="en-US" w:eastAsia="zh-CN"/>
              </w:rPr>
            </w:pPr>
            <w:r>
              <w:rPr>
                <w:color w:val="auto"/>
              </w:rPr>
              <w:t>电    话</w:t>
            </w:r>
            <w:r>
              <w:rPr>
                <w:rFonts w:hint="eastAsia"/>
                <w:color w:val="auto"/>
              </w:rPr>
              <w:t>：</w:t>
            </w:r>
            <w:r>
              <w:rPr>
                <w:rFonts w:hint="eastAsia" w:ascii="Times New Roman" w:hAnsi="Times New Roman" w:eastAsia="宋体" w:cs="Times New Roman"/>
                <w:color w:val="auto"/>
                <w:kern w:val="2"/>
                <w:sz w:val="21"/>
                <w:szCs w:val="24"/>
                <w:lang w:val="en-US" w:eastAsia="zh-CN" w:bidi="ar-SA"/>
              </w:rPr>
              <w:t>13330388876</w:t>
            </w:r>
          </w:p>
          <w:p>
            <w:pPr>
              <w:pStyle w:val="25"/>
              <w:rPr>
                <w:rFonts w:hint="default" w:eastAsia="宋体"/>
                <w:color w:val="auto"/>
                <w:lang w:val="en-US" w:eastAsia="zh-CN"/>
              </w:rPr>
            </w:pPr>
            <w:r>
              <w:rPr>
                <w:rFonts w:hint="eastAsia" w:ascii="宋体" w:hAnsi="宋体"/>
                <w:color w:val="auto"/>
                <w:kern w:val="0"/>
                <w:szCs w:val="21"/>
                <w:lang w:val="en-US" w:eastAsia="zh-CN"/>
              </w:rPr>
              <w:t>邮</w:t>
            </w:r>
            <w:r>
              <w:rPr>
                <w:rFonts w:ascii="宋体" w:hAnsi="宋体"/>
                <w:color w:val="auto"/>
                <w:kern w:val="0"/>
                <w:szCs w:val="21"/>
              </w:rPr>
              <w:t xml:space="preserve">    </w:t>
            </w:r>
            <w:r>
              <w:rPr>
                <w:rFonts w:hint="eastAsia" w:ascii="宋体" w:hAnsi="宋体"/>
                <w:color w:val="auto"/>
                <w:kern w:val="0"/>
                <w:szCs w:val="21"/>
                <w:lang w:val="en-US" w:eastAsia="zh-CN"/>
              </w:rPr>
              <w:t>箱</w:t>
            </w:r>
            <w:r>
              <w:rPr>
                <w:rFonts w:hint="eastAsia" w:ascii="宋体" w:hAnsi="宋体"/>
                <w:color w:val="auto"/>
                <w:kern w:val="0"/>
                <w:szCs w:val="21"/>
              </w:rPr>
              <w:t>：</w:t>
            </w:r>
            <w:r>
              <w:rPr>
                <w:rFonts w:hint="eastAsia" w:ascii="Times New Roman" w:hAnsi="Times New Roman" w:eastAsia="宋体" w:cs="Times New Roman"/>
                <w:color w:val="auto"/>
                <w:kern w:val="2"/>
                <w:sz w:val="21"/>
                <w:szCs w:val="24"/>
                <w:lang w:val="en-US" w:eastAsia="zh-CN" w:bidi="ar-SA"/>
              </w:rPr>
              <w:t>304854158@qq.com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hint="eastAsia" w:ascii="宋体" w:hAnsi="宋体" w:eastAsia="宋体"/>
                <w:color w:val="auto"/>
                <w:kern w:val="0"/>
                <w:szCs w:val="21"/>
                <w:lang w:eastAsia="zh-CN"/>
              </w:rPr>
            </w:pPr>
            <w:r>
              <w:rPr>
                <w:rFonts w:ascii="宋体" w:hAnsi="宋体"/>
                <w:color w:val="auto"/>
                <w:kern w:val="0"/>
                <w:szCs w:val="21"/>
              </w:rPr>
              <w:t>1.1.</w:t>
            </w:r>
            <w:r>
              <w:rPr>
                <w:rFonts w:hint="eastAsia" w:ascii="宋体" w:hAnsi="宋体"/>
                <w:color w:val="auto"/>
                <w:kern w:val="0"/>
                <w:szCs w:val="21"/>
                <w:lang w:val="en-US" w:eastAsia="zh-CN"/>
              </w:rPr>
              <w:t>4</w:t>
            </w:r>
          </w:p>
        </w:tc>
        <w:tc>
          <w:tcPr>
            <w:tcW w:w="1560" w:type="dxa"/>
            <w:vAlign w:val="center"/>
          </w:tcPr>
          <w:p>
            <w:pPr>
              <w:snapToGrid w:val="0"/>
              <w:spacing w:line="420" w:lineRule="exact"/>
              <w:jc w:val="center"/>
              <w:rPr>
                <w:rFonts w:ascii="宋体" w:hAnsi="宋体"/>
                <w:color w:val="auto"/>
                <w:kern w:val="0"/>
                <w:szCs w:val="21"/>
                <w:u w:val="none"/>
              </w:rPr>
            </w:pPr>
            <w:r>
              <w:rPr>
                <w:rFonts w:ascii="宋体" w:hAnsi="宋体"/>
                <w:color w:val="auto"/>
                <w:kern w:val="0"/>
                <w:szCs w:val="21"/>
                <w:u w:val="none"/>
              </w:rPr>
              <w:t>项目名称</w:t>
            </w:r>
          </w:p>
        </w:tc>
        <w:tc>
          <w:tcPr>
            <w:tcW w:w="6785" w:type="dxa"/>
            <w:vAlign w:val="center"/>
          </w:tcPr>
          <w:p>
            <w:pPr>
              <w:snapToGrid w:val="0"/>
              <w:spacing w:line="420" w:lineRule="exact"/>
              <w:ind w:firstLine="420" w:firstLineChars="200"/>
              <w:jc w:val="center"/>
              <w:rPr>
                <w:rFonts w:hint="default" w:ascii="宋体" w:hAnsi="宋体" w:eastAsia="宋体"/>
                <w:color w:val="auto"/>
                <w:szCs w:val="21"/>
                <w:u w:val="none"/>
                <w:lang w:val="en-US" w:eastAsia="zh-CN"/>
              </w:rPr>
            </w:pPr>
            <w:r>
              <w:rPr>
                <w:rFonts w:hint="eastAsia" w:ascii="宋体" w:hAnsi="宋体"/>
                <w:snapToGrid w:val="0"/>
                <w:color w:val="auto"/>
                <w:kern w:val="0"/>
                <w:szCs w:val="21"/>
                <w:lang w:val="en-US" w:eastAsia="zh-CN"/>
              </w:rPr>
              <w:t>重庆市建筑科学研究院有限公司“江南分中心实验室搬迁项目（实验区）劳务分包（装饰工程及水电智能化工程）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1.1.5</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建设地点</w:t>
            </w:r>
          </w:p>
        </w:tc>
        <w:tc>
          <w:tcPr>
            <w:tcW w:w="6785" w:type="dxa"/>
            <w:vAlign w:val="center"/>
          </w:tcPr>
          <w:p>
            <w:pPr>
              <w:snapToGrid w:val="0"/>
              <w:spacing w:line="420" w:lineRule="exact"/>
              <w:ind w:firstLine="420" w:firstLineChars="200"/>
              <w:rPr>
                <w:rFonts w:hint="default" w:ascii="宋体" w:hAnsi="宋体" w:eastAsia="宋体"/>
                <w:color w:val="auto"/>
                <w:szCs w:val="21"/>
                <w:lang w:val="en-US" w:eastAsia="zh-CN"/>
              </w:rPr>
            </w:pPr>
            <w:r>
              <w:rPr>
                <w:rFonts w:hint="eastAsia" w:ascii="宋体" w:hAnsi="宋体"/>
                <w:snapToGrid w:val="0"/>
                <w:color w:val="auto"/>
                <w:kern w:val="0"/>
                <w:szCs w:val="21"/>
                <w:lang w:val="en-US" w:eastAsia="zh-CN"/>
              </w:rPr>
              <w:t>重庆市南岸区梨花大道857号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1.1.6</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建设规模</w:t>
            </w:r>
          </w:p>
        </w:tc>
        <w:tc>
          <w:tcPr>
            <w:tcW w:w="6785" w:type="dxa"/>
            <w:vAlign w:val="center"/>
          </w:tcPr>
          <w:p>
            <w:pPr>
              <w:tabs>
                <w:tab w:val="left" w:pos="3840"/>
                <w:tab w:val="left" w:pos="5300"/>
              </w:tabs>
              <w:autoSpaceDE w:val="0"/>
              <w:autoSpaceDN w:val="0"/>
              <w:adjustRightInd w:val="0"/>
              <w:snapToGrid w:val="0"/>
              <w:spacing w:line="42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装修面积约</w:t>
            </w:r>
            <w:r>
              <w:rPr>
                <w:rFonts w:hint="eastAsia" w:ascii="宋体" w:hAnsi="宋体"/>
                <w:snapToGrid w:val="0"/>
                <w:color w:val="auto"/>
                <w:kern w:val="0"/>
                <w:szCs w:val="21"/>
                <w:lang w:val="en-US" w:eastAsia="zh-CN"/>
              </w:rPr>
              <w:t>5445.76</w:t>
            </w:r>
            <w:r>
              <w:rPr>
                <w:rFonts w:hint="eastAsia" w:ascii="宋体" w:hAnsi="宋体"/>
                <w:snapToGrid w:val="0"/>
                <w:color w:val="auto"/>
                <w:kern w:val="0"/>
                <w:szCs w:val="21"/>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1.2.1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资金来源</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1.2.2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出资比例</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1.2.3</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资金落实情况</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1.3.1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招标范围</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snapToGrid w:val="0"/>
                <w:color w:val="auto"/>
                <w:kern w:val="0"/>
                <w:szCs w:val="21"/>
                <w:lang w:val="en-US" w:eastAsia="zh-CN"/>
              </w:rPr>
              <w:t>包括但不限于装饰、强弱电、给排水、智能化、钢结构工程等工作内容。具体以招标人发出的施工图及工程量清单为准。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1.3.2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计划工期</w:t>
            </w:r>
          </w:p>
        </w:tc>
        <w:tc>
          <w:tcPr>
            <w:tcW w:w="6785" w:type="dxa"/>
            <w:vAlign w:val="center"/>
          </w:tcPr>
          <w:p>
            <w:pPr>
              <w:tabs>
                <w:tab w:val="left" w:pos="3840"/>
                <w:tab w:val="left" w:pos="5300"/>
              </w:tabs>
              <w:autoSpaceDE w:val="0"/>
              <w:autoSpaceDN w:val="0"/>
              <w:adjustRightInd w:val="0"/>
              <w:snapToGrid w:val="0"/>
              <w:spacing w:line="420" w:lineRule="exact"/>
              <w:ind w:firstLine="420" w:firstLineChars="200"/>
              <w:rPr>
                <w:rFonts w:hint="default" w:eastAsia="宋体"/>
                <w:color w:val="auto"/>
                <w:lang w:val="en-US" w:eastAsia="zh-CN"/>
              </w:rPr>
            </w:pPr>
            <w:r>
              <w:rPr>
                <w:rFonts w:hint="eastAsia"/>
                <w:color w:val="auto"/>
              </w:rPr>
              <w:t>工期要求：总工期</w:t>
            </w:r>
            <w:r>
              <w:rPr>
                <w:rFonts w:hint="eastAsia"/>
                <w:color w:val="auto"/>
                <w:lang w:val="en-US" w:eastAsia="zh-CN"/>
              </w:rPr>
              <w:t>60</w:t>
            </w:r>
            <w:r>
              <w:rPr>
                <w:rFonts w:hint="eastAsia"/>
                <w:color w:val="auto"/>
              </w:rPr>
              <w:t>日历天，缺陷责任期</w:t>
            </w:r>
            <w:r>
              <w:rPr>
                <w:color w:val="auto"/>
              </w:rPr>
              <w:t>24</w:t>
            </w:r>
            <w:r>
              <w:rPr>
                <w:rFonts w:hint="eastAsia"/>
                <w:color w:val="auto"/>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1.3.3</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质量</w:t>
            </w:r>
            <w:r>
              <w:rPr>
                <w:rFonts w:hint="eastAsia" w:ascii="宋体" w:hAnsi="宋体"/>
                <w:color w:val="auto"/>
                <w:kern w:val="0"/>
                <w:szCs w:val="21"/>
              </w:rPr>
              <w:t>标准</w:t>
            </w:r>
          </w:p>
        </w:tc>
        <w:tc>
          <w:tcPr>
            <w:tcW w:w="6785" w:type="dxa"/>
            <w:vAlign w:val="center"/>
          </w:tcPr>
          <w:p>
            <w:pPr>
              <w:snapToGrid w:val="0"/>
              <w:spacing w:line="420" w:lineRule="exact"/>
              <w:ind w:firstLine="420" w:firstLineChars="200"/>
              <w:rPr>
                <w:rFonts w:hint="default" w:ascii="宋体" w:hAnsi="宋体" w:eastAsia="宋体"/>
                <w:color w:val="auto"/>
                <w:szCs w:val="21"/>
                <w:lang w:val="en-US" w:eastAsia="zh-CN"/>
              </w:rPr>
            </w:pPr>
            <w:bookmarkStart w:id="123" w:name="_Hlk95145307"/>
            <w:r>
              <w:rPr>
                <w:rFonts w:hint="eastAsia" w:ascii="宋体" w:hAnsi="宋体"/>
                <w:color w:val="auto"/>
                <w:szCs w:val="21"/>
                <w:u w:val="none"/>
              </w:rPr>
              <w:t>符合强制性质量标准，</w:t>
            </w:r>
            <w:r>
              <w:rPr>
                <w:rFonts w:hint="eastAsia" w:ascii="宋体" w:hAnsi="宋体" w:cs="宋体"/>
                <w:color w:val="auto"/>
                <w:kern w:val="0"/>
                <w:szCs w:val="21"/>
                <w:u w:val="none"/>
                <w:lang w:bidi="ar"/>
              </w:rPr>
              <w:t>符合国家和重庆市现行有关施工质量验收规范</w:t>
            </w:r>
            <w:r>
              <w:rPr>
                <w:rFonts w:hint="eastAsia" w:ascii="宋体" w:hAnsi="宋体" w:cs="宋体"/>
                <w:color w:val="auto"/>
                <w:kern w:val="0"/>
                <w:szCs w:val="21"/>
                <w:u w:val="none"/>
                <w:lang w:eastAsia="zh-CN" w:bidi="ar"/>
              </w:rPr>
              <w:t>、</w:t>
            </w:r>
            <w:r>
              <w:rPr>
                <w:rFonts w:hint="eastAsia" w:ascii="宋体" w:hAnsi="宋体" w:cs="宋体"/>
                <w:color w:val="auto"/>
                <w:kern w:val="0"/>
                <w:szCs w:val="21"/>
                <w:u w:val="none"/>
                <w:lang w:val="en-US" w:eastAsia="zh-CN" w:bidi="ar"/>
              </w:rPr>
              <w:t>技术规范、技术标准、规程、文件等相关规定及本工程施工图设计文件要求</w:t>
            </w:r>
            <w:r>
              <w:rPr>
                <w:rFonts w:hint="eastAsia" w:ascii="宋体" w:hAnsi="宋体" w:cs="宋体"/>
                <w:color w:val="auto"/>
                <w:kern w:val="0"/>
                <w:szCs w:val="21"/>
                <w:u w:val="none"/>
                <w:lang w:bidi="ar"/>
              </w:rPr>
              <w:t>，并达到合格标准</w:t>
            </w:r>
            <w:bookmarkEnd w:id="123"/>
            <w:r>
              <w:rPr>
                <w:rFonts w:hint="eastAsia" w:ascii="宋体" w:hAnsi="宋体" w:cs="宋体"/>
                <w:color w:val="auto"/>
                <w:kern w:val="0"/>
                <w:szCs w:val="21"/>
                <w:u w:val="none"/>
                <w:lang w:val="en-US" w:eastAsia="zh-CN" w:bidi="ar"/>
              </w:rPr>
              <w:t>。若不同标准和规范之间要求不一致的，以较高要求为准。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pStyle w:val="2"/>
              <w:spacing w:after="0" w:line="4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1.4.1</w:t>
            </w:r>
          </w:p>
        </w:tc>
        <w:tc>
          <w:tcPr>
            <w:tcW w:w="1560" w:type="dxa"/>
            <w:vAlign w:val="center"/>
          </w:tcPr>
          <w:p>
            <w:pPr>
              <w:snapToGrid w:val="0"/>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投标人资质条件、能力和信誉</w:t>
            </w:r>
          </w:p>
        </w:tc>
        <w:tc>
          <w:tcPr>
            <w:tcW w:w="6785" w:type="dxa"/>
            <w:vAlign w:val="center"/>
          </w:tcPr>
          <w:p>
            <w:pPr>
              <w:autoSpaceDE w:val="0"/>
              <w:autoSpaceDN w:val="0"/>
              <w:adjustRightInd w:val="0"/>
              <w:snapToGrid w:val="0"/>
              <w:spacing w:line="360" w:lineRule="auto"/>
              <w:ind w:firstLine="420" w:firstLineChars="200"/>
              <w:rPr>
                <w:rFonts w:ascii="宋体" w:hAnsi="宋体"/>
                <w:color w:val="auto"/>
                <w:szCs w:val="21"/>
              </w:rPr>
            </w:pPr>
            <w:bookmarkStart w:id="124" w:name="OLE_LINK1"/>
            <w:r>
              <w:rPr>
                <w:rFonts w:ascii="宋体" w:hAnsi="宋体"/>
                <w:color w:val="auto"/>
                <w:szCs w:val="21"/>
              </w:rPr>
              <w:t>本工程招标实行资格后审，投标人应</w:t>
            </w:r>
            <w:bookmarkStart w:id="125" w:name="一是"/>
            <w:bookmarkEnd w:id="125"/>
            <w:r>
              <w:rPr>
                <w:rFonts w:ascii="宋体" w:hAnsi="宋体"/>
                <w:color w:val="auto"/>
                <w:szCs w:val="21"/>
              </w:rPr>
              <w:t>具备以下资格条件：</w:t>
            </w:r>
          </w:p>
          <w:bookmarkEnd w:id="124"/>
          <w:p>
            <w:pPr>
              <w:autoSpaceDE w:val="0"/>
              <w:autoSpaceDN w:val="0"/>
              <w:adjustRightInd w:val="0"/>
              <w:snapToGrid w:val="0"/>
              <w:spacing w:line="360" w:lineRule="auto"/>
              <w:ind w:firstLine="422" w:firstLineChars="200"/>
              <w:rPr>
                <w:rFonts w:ascii="宋体" w:hAnsi="宋体"/>
                <w:b/>
                <w:color w:val="auto"/>
                <w:szCs w:val="21"/>
              </w:rPr>
            </w:pPr>
            <w:r>
              <w:rPr>
                <w:rFonts w:ascii="宋体" w:hAnsi="宋体"/>
                <w:b/>
                <w:color w:val="auto"/>
                <w:szCs w:val="21"/>
              </w:rPr>
              <w:t>1.资质条件、营业执照及安全生产条件</w:t>
            </w:r>
          </w:p>
          <w:p>
            <w:pPr>
              <w:autoSpaceDE w:val="0"/>
              <w:autoSpaceDN w:val="0"/>
              <w:adjustRightInd w:val="0"/>
              <w:snapToGrid w:val="0"/>
              <w:spacing w:line="360" w:lineRule="auto"/>
              <w:ind w:firstLine="420" w:firstLineChars="200"/>
              <w:rPr>
                <w:rFonts w:hint="default" w:ascii="宋体" w:hAnsi="宋体" w:eastAsia="宋体"/>
                <w:color w:val="auto"/>
                <w:szCs w:val="21"/>
                <w:u w:val="single"/>
                <w:lang w:val="en-US" w:eastAsia="zh-CN"/>
              </w:rPr>
            </w:pPr>
            <w:r>
              <w:rPr>
                <w:rFonts w:ascii="宋体" w:hAnsi="宋体"/>
                <w:color w:val="auto"/>
                <w:szCs w:val="21"/>
              </w:rPr>
              <w:t>（1）</w:t>
            </w:r>
            <w:r>
              <w:rPr>
                <w:rFonts w:hint="eastAsia" w:ascii="宋体" w:hAnsi="宋体"/>
                <w:color w:val="auto"/>
                <w:szCs w:val="21"/>
                <w:lang w:val="en-US" w:eastAsia="zh-CN"/>
              </w:rPr>
              <w:t>投标人须具备建设行政主管部门颁发的施工劳务资质。</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有效的证书复印件</w:t>
            </w:r>
            <w:r>
              <w:rPr>
                <w:rFonts w:ascii="宋体" w:hAnsi="宋体"/>
                <w:color w:val="auto"/>
                <w:szCs w:val="21"/>
              </w:rPr>
              <w:t>。</w:t>
            </w:r>
          </w:p>
          <w:p>
            <w:pPr>
              <w:autoSpaceDE w:val="0"/>
              <w:autoSpaceDN w:val="0"/>
              <w:adjustRightInd w:val="0"/>
              <w:snapToGrid w:val="0"/>
              <w:spacing w:line="360" w:lineRule="auto"/>
              <w:ind w:firstLine="420" w:firstLineChars="200"/>
              <w:rPr>
                <w:rFonts w:ascii="宋体" w:hAnsi="宋体"/>
                <w:color w:val="auto"/>
                <w:szCs w:val="21"/>
              </w:rPr>
            </w:pPr>
            <w:r>
              <w:rPr>
                <w:rFonts w:ascii="宋体" w:hAnsi="宋体"/>
                <w:color w:val="auto"/>
                <w:szCs w:val="21"/>
              </w:rPr>
              <w:t>（2）具备有效的营业执照。</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w:t>
            </w:r>
            <w:r>
              <w:rPr>
                <w:rFonts w:hint="eastAsia" w:ascii="宋体" w:hAnsi="宋体"/>
                <w:color w:val="auto"/>
                <w:szCs w:val="21"/>
              </w:rPr>
              <w:t>复印件</w:t>
            </w:r>
            <w:r>
              <w:rPr>
                <w:rFonts w:ascii="宋体" w:hAnsi="宋体"/>
                <w:color w:val="auto"/>
                <w:szCs w:val="21"/>
              </w:rPr>
              <w:t>。</w:t>
            </w:r>
          </w:p>
          <w:p>
            <w:pPr>
              <w:autoSpaceDE w:val="0"/>
              <w:autoSpaceDN w:val="0"/>
              <w:adjustRightInd w:val="0"/>
              <w:snapToGrid w:val="0"/>
              <w:spacing w:line="360" w:lineRule="auto"/>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负责人具备相应的由建设行政主管部门颁发的有效的安全生产考核合格证书</w:t>
            </w:r>
            <w:r>
              <w:rPr>
                <w:rFonts w:hint="eastAsia" w:ascii="宋体" w:hAnsi="宋体"/>
                <w:color w:val="auto"/>
                <w:szCs w:val="21"/>
              </w:rPr>
              <w:t>。</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w:t>
            </w:r>
            <w:r>
              <w:rPr>
                <w:rFonts w:hint="eastAsia" w:ascii="宋体" w:hAnsi="宋体"/>
                <w:color w:val="auto"/>
                <w:szCs w:val="21"/>
              </w:rPr>
              <w:t>复印件</w:t>
            </w:r>
            <w:r>
              <w:rPr>
                <w:rFonts w:ascii="宋体" w:hAnsi="宋体"/>
                <w:color w:val="auto"/>
                <w:szCs w:val="21"/>
              </w:rPr>
              <w:t>。</w:t>
            </w:r>
          </w:p>
          <w:p>
            <w:pPr>
              <w:autoSpaceDE w:val="0"/>
              <w:autoSpaceDN w:val="0"/>
              <w:adjustRightInd w:val="0"/>
              <w:snapToGrid w:val="0"/>
              <w:spacing w:line="360" w:lineRule="auto"/>
              <w:ind w:firstLine="422" w:firstLineChars="200"/>
              <w:rPr>
                <w:rFonts w:hint="eastAsia" w:ascii="宋体" w:hAnsi="宋体"/>
                <w:b/>
                <w:color w:val="auto"/>
                <w:szCs w:val="21"/>
                <w:lang w:val="en-US" w:eastAsia="zh-CN"/>
              </w:rPr>
            </w:pPr>
            <w:r>
              <w:rPr>
                <w:rFonts w:hint="eastAsia" w:ascii="宋体" w:hAnsi="宋体"/>
                <w:b/>
                <w:color w:val="auto"/>
                <w:szCs w:val="21"/>
                <w:lang w:val="en-US" w:eastAsia="zh-CN"/>
              </w:rPr>
              <w:t>2.业绩要求</w:t>
            </w:r>
          </w:p>
          <w:p>
            <w:pPr>
              <w:pStyle w:val="2"/>
              <w:spacing w:line="360" w:lineRule="auto"/>
              <w:rPr>
                <w:rFonts w:hint="default"/>
                <w:color w:val="auto"/>
                <w:u w:val="wave"/>
                <w:lang w:val="en-US" w:eastAsia="zh-CN"/>
              </w:rPr>
            </w:pP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ascii="宋体" w:hAnsi="宋体" w:eastAsia="宋体" w:cs="Times New Roman"/>
                <w:color w:val="FF0000"/>
                <w:kern w:val="2"/>
                <w:sz w:val="21"/>
                <w:szCs w:val="21"/>
                <w:lang w:val="en-US" w:eastAsia="zh-CN" w:bidi="ar-SA"/>
              </w:rPr>
              <w:t xml:space="preserve"> </w:t>
            </w:r>
            <w:r>
              <w:rPr>
                <w:rFonts w:hint="eastAsia" w:ascii="宋体" w:hAnsi="宋体" w:eastAsia="宋体" w:cs="Times New Roman"/>
                <w:color w:val="auto"/>
                <w:kern w:val="2"/>
                <w:sz w:val="21"/>
                <w:szCs w:val="21"/>
                <w:u w:val="none"/>
                <w:lang w:val="en-US" w:eastAsia="zh-CN" w:bidi="ar-SA"/>
              </w:rPr>
              <w:t>须提供投标人近3年（即2019年6月1日至开标时间，下同）至少1个合同金额不低于3</w:t>
            </w:r>
            <w:r>
              <w:rPr>
                <w:rFonts w:hint="eastAsia" w:ascii="宋体" w:hAnsi="宋体" w:cs="Times New Roman"/>
                <w:color w:val="auto"/>
                <w:kern w:val="2"/>
                <w:sz w:val="21"/>
                <w:szCs w:val="21"/>
                <w:u w:val="none"/>
                <w:lang w:val="en-US" w:eastAsia="zh-CN" w:bidi="ar-SA"/>
              </w:rPr>
              <w:t>19</w:t>
            </w:r>
            <w:r>
              <w:rPr>
                <w:rFonts w:hint="eastAsia" w:ascii="宋体" w:hAnsi="宋体" w:eastAsia="宋体" w:cs="Times New Roman"/>
                <w:color w:val="auto"/>
                <w:kern w:val="2"/>
                <w:sz w:val="21"/>
                <w:szCs w:val="21"/>
                <w:u w:val="none"/>
                <w:lang w:val="en-US" w:eastAsia="zh-CN" w:bidi="ar-SA"/>
              </w:rPr>
              <w:t>万元</w:t>
            </w:r>
            <w:r>
              <w:rPr>
                <w:rFonts w:hint="eastAsia" w:ascii="宋体" w:hAnsi="宋体" w:cs="Times New Roman"/>
                <w:color w:val="auto"/>
                <w:kern w:val="2"/>
                <w:sz w:val="21"/>
                <w:szCs w:val="21"/>
                <w:u w:val="none"/>
                <w:lang w:val="en-US" w:eastAsia="zh-CN" w:bidi="ar-SA"/>
              </w:rPr>
              <w:t>或者建筑规模不小于4357㎡</w:t>
            </w:r>
            <w:r>
              <w:rPr>
                <w:rFonts w:hint="eastAsia" w:ascii="宋体" w:hAnsi="宋体" w:eastAsia="宋体" w:cs="Times New Roman"/>
                <w:color w:val="auto"/>
                <w:kern w:val="2"/>
                <w:sz w:val="21"/>
                <w:szCs w:val="21"/>
                <w:u w:val="none"/>
                <w:lang w:val="en-US" w:eastAsia="zh-CN" w:bidi="ar-SA"/>
              </w:rPr>
              <w:t>的装饰工程业绩（提供合同</w:t>
            </w:r>
            <w:r>
              <w:rPr>
                <w:rFonts w:hint="eastAsia" w:ascii="宋体" w:hAnsi="宋体" w:cs="Times New Roman"/>
                <w:color w:val="auto"/>
                <w:kern w:val="2"/>
                <w:sz w:val="21"/>
                <w:szCs w:val="21"/>
                <w:u w:val="none"/>
                <w:lang w:val="en-US" w:eastAsia="zh-CN" w:bidi="ar-SA"/>
              </w:rPr>
              <w:t>关键页</w:t>
            </w:r>
            <w:r>
              <w:rPr>
                <w:rFonts w:hint="eastAsia" w:ascii="宋体" w:hAnsi="宋体" w:eastAsia="宋体" w:cs="Times New Roman"/>
                <w:color w:val="auto"/>
                <w:kern w:val="2"/>
                <w:sz w:val="21"/>
                <w:szCs w:val="21"/>
                <w:u w:val="none"/>
                <w:lang w:val="en-US" w:eastAsia="zh-CN" w:bidi="ar-SA"/>
              </w:rPr>
              <w:t>复印件）</w:t>
            </w:r>
          </w:p>
          <w:p>
            <w:pPr>
              <w:autoSpaceDE w:val="0"/>
              <w:autoSpaceDN w:val="0"/>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lang w:val="en-US" w:eastAsia="zh-CN"/>
              </w:rPr>
              <w:t>3</w:t>
            </w:r>
            <w:r>
              <w:rPr>
                <w:rFonts w:ascii="宋体" w:hAnsi="宋体"/>
                <w:b/>
                <w:color w:val="auto"/>
                <w:szCs w:val="21"/>
              </w:rPr>
              <w:t>.其他要求</w:t>
            </w:r>
          </w:p>
          <w:p>
            <w:pPr>
              <w:autoSpaceDE w:val="0"/>
              <w:autoSpaceDN w:val="0"/>
              <w:adjustRightInd w:val="0"/>
              <w:snapToGrid w:val="0"/>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w:t>
            </w:r>
            <w:r>
              <w:rPr>
                <w:rFonts w:ascii="宋体" w:hAnsi="宋体" w:eastAsia="宋体" w:cs="Times New Roman"/>
                <w:color w:val="auto"/>
                <w:szCs w:val="21"/>
              </w:rPr>
              <w:t>委托代理人</w:t>
            </w:r>
            <w:r>
              <w:rPr>
                <w:rFonts w:hint="eastAsia" w:ascii="宋体" w:hAnsi="宋体" w:eastAsia="宋体" w:cs="Times New Roman"/>
                <w:color w:val="auto"/>
                <w:szCs w:val="21"/>
              </w:rPr>
              <w:t>：</w:t>
            </w:r>
            <w:r>
              <w:rPr>
                <w:rFonts w:ascii="宋体" w:hAnsi="宋体" w:eastAsia="宋体" w:cs="Times New Roman"/>
                <w:color w:val="auto"/>
                <w:szCs w:val="21"/>
              </w:rPr>
              <w:t>委托代理人必须为投标人单位职工。</w:t>
            </w:r>
          </w:p>
          <w:p>
            <w:pPr>
              <w:autoSpaceDE w:val="0"/>
              <w:autoSpaceDN w:val="0"/>
              <w:adjustRightInd w:val="0"/>
              <w:snapToGrid w:val="0"/>
              <w:spacing w:line="360" w:lineRule="auto"/>
              <w:ind w:firstLine="420" w:firstLineChars="200"/>
              <w:rPr>
                <w:rFonts w:hint="eastAsia" w:ascii="宋体" w:hAnsi="宋体" w:eastAsia="宋体" w:cs="Times New Roman"/>
                <w:color w:val="auto"/>
                <w:szCs w:val="21"/>
                <w:u w:val="none"/>
              </w:rPr>
            </w:pPr>
            <w:r>
              <w:rPr>
                <w:rFonts w:hint="eastAsia" w:ascii="宋体" w:hAnsi="宋体" w:eastAsia="宋体" w:cs="Times New Roman"/>
                <w:color w:val="auto"/>
                <w:szCs w:val="21"/>
                <w:u w:val="none"/>
              </w:rPr>
              <w:t>投标人</w:t>
            </w:r>
            <w:r>
              <w:rPr>
                <w:rFonts w:ascii="宋体" w:hAnsi="宋体" w:eastAsia="宋体" w:cs="Times New Roman"/>
                <w:color w:val="auto"/>
                <w:szCs w:val="21"/>
                <w:u w:val="none"/>
              </w:rPr>
              <w:t>须</w:t>
            </w:r>
            <w:r>
              <w:rPr>
                <w:rFonts w:hint="eastAsia" w:ascii="宋体" w:hAnsi="宋体" w:eastAsia="宋体" w:cs="Times New Roman"/>
                <w:color w:val="auto"/>
                <w:szCs w:val="21"/>
                <w:u w:val="none"/>
              </w:rPr>
              <w:t>在投标文件资格审查部分</w:t>
            </w:r>
            <w:r>
              <w:rPr>
                <w:rFonts w:ascii="宋体" w:hAnsi="宋体" w:eastAsia="宋体" w:cs="Times New Roman"/>
                <w:color w:val="auto"/>
                <w:szCs w:val="21"/>
                <w:u w:val="none"/>
              </w:rPr>
              <w:t>提供</w:t>
            </w:r>
            <w:r>
              <w:rPr>
                <w:rFonts w:hint="eastAsia" w:ascii="宋体" w:hAnsi="宋体" w:eastAsia="宋体" w:cs="Times New Roman"/>
                <w:color w:val="auto"/>
                <w:szCs w:val="21"/>
                <w:u w:val="none"/>
              </w:rPr>
              <w:t>投标人为该</w:t>
            </w:r>
            <w:r>
              <w:rPr>
                <w:rFonts w:ascii="宋体" w:hAnsi="宋体" w:eastAsia="宋体" w:cs="Times New Roman"/>
                <w:color w:val="auto"/>
                <w:szCs w:val="21"/>
                <w:u w:val="none"/>
              </w:rPr>
              <w:t>委托代理人</w:t>
            </w:r>
            <w:r>
              <w:rPr>
                <w:rFonts w:hint="eastAsia" w:ascii="宋体" w:hAnsi="宋体" w:eastAsia="宋体" w:cs="Times New Roman"/>
                <w:color w:val="auto"/>
                <w:szCs w:val="21"/>
                <w:u w:val="none"/>
              </w:rPr>
              <w:t>缴纳</w:t>
            </w:r>
            <w:r>
              <w:rPr>
                <w:rFonts w:hint="eastAsia" w:ascii="宋体" w:hAnsi="宋体" w:cs="Times New Roman"/>
                <w:color w:val="auto"/>
                <w:szCs w:val="21"/>
                <w:u w:val="none"/>
                <w:lang w:val="en-US" w:eastAsia="zh-CN"/>
              </w:rPr>
              <w:t>2022年4月-2022年6月</w:t>
            </w:r>
            <w:r>
              <w:rPr>
                <w:rFonts w:hint="eastAsia" w:ascii="宋体" w:hAnsi="宋体" w:eastAsia="宋体" w:cs="Times New Roman"/>
                <w:color w:val="auto"/>
                <w:szCs w:val="21"/>
                <w:u w:val="none"/>
              </w:rPr>
              <w:t>养老保险参保证明（个人）</w:t>
            </w:r>
            <w:r>
              <w:rPr>
                <w:rFonts w:hint="eastAsia" w:ascii="宋体" w:hAnsi="宋体" w:cs="Times New Roman"/>
                <w:color w:val="auto"/>
                <w:szCs w:val="21"/>
                <w:u w:val="none"/>
                <w:lang w:val="en-US" w:eastAsia="zh-CN"/>
              </w:rPr>
              <w:t>【</w:t>
            </w:r>
            <w:r>
              <w:rPr>
                <w:rFonts w:hint="eastAsia" w:ascii="宋体" w:hAnsi="宋体" w:eastAsia="宋体" w:cs="Times New Roman"/>
                <w:color w:val="auto"/>
                <w:szCs w:val="21"/>
                <w:u w:val="none"/>
              </w:rPr>
              <w:t>提供须带有社保部门公章（或有效的电子印章），必须包含身份证号（或社保号）和参保基本情况、参保缴费明细（养老保险）</w:t>
            </w:r>
            <w:r>
              <w:rPr>
                <w:rFonts w:hint="eastAsia" w:ascii="宋体" w:hAnsi="宋体" w:cs="Times New Roman"/>
                <w:color w:val="auto"/>
                <w:szCs w:val="21"/>
                <w:u w:val="none"/>
                <w:lang w:val="en-US" w:eastAsia="zh-CN"/>
              </w:rPr>
              <w:t>】</w:t>
            </w:r>
            <w:r>
              <w:rPr>
                <w:rFonts w:hint="eastAsia" w:ascii="宋体" w:hAnsi="宋体" w:eastAsia="宋体" w:cs="Times New Roman"/>
                <w:color w:val="auto"/>
                <w:szCs w:val="21"/>
                <w:u w:val="none"/>
              </w:rPr>
              <w:t>。否则，将由评标委员会作否决投标处理。</w:t>
            </w:r>
          </w:p>
          <w:p>
            <w:pPr>
              <w:autoSpaceDE w:val="0"/>
              <w:autoSpaceDN w:val="0"/>
              <w:adjustRightInd w:val="0"/>
              <w:snapToGrid w:val="0"/>
              <w:spacing w:line="360" w:lineRule="auto"/>
              <w:ind w:firstLine="420" w:firstLineChars="200"/>
              <w:rPr>
                <w:rFonts w:hint="eastAsia" w:ascii="宋体" w:hAnsi="宋体" w:eastAsia="宋体" w:cs="Times New Roman"/>
                <w:color w:val="auto"/>
                <w:szCs w:val="21"/>
                <w:u w:val="none"/>
              </w:rPr>
            </w:pPr>
            <w:r>
              <w:rPr>
                <w:rFonts w:hint="eastAsia" w:ascii="宋体" w:hAnsi="宋体" w:eastAsia="宋体" w:cs="Times New Roman"/>
                <w:color w:val="auto"/>
                <w:szCs w:val="21"/>
                <w:u w:val="none"/>
              </w:rPr>
              <w:t>（2）</w:t>
            </w:r>
            <w:bookmarkStart w:id="126" w:name="_Hlk57992060"/>
            <w:r>
              <w:rPr>
                <w:rFonts w:hint="eastAsia" w:ascii="宋体" w:hAnsi="宋体" w:eastAsia="宋体" w:cs="Times New Roman"/>
                <w:color w:val="auto"/>
                <w:szCs w:val="21"/>
                <w:u w:val="none"/>
              </w:rPr>
              <w:t>投标人须</w:t>
            </w:r>
            <w:r>
              <w:rPr>
                <w:rFonts w:hint="eastAsia" w:ascii="宋体" w:hAnsi="宋体" w:cs="Times New Roman"/>
                <w:color w:val="auto"/>
                <w:szCs w:val="21"/>
                <w:u w:val="none"/>
                <w:lang w:val="en-US" w:eastAsia="zh-CN"/>
              </w:rPr>
              <w:t>保证</w:t>
            </w:r>
            <w:r>
              <w:rPr>
                <w:rFonts w:hint="eastAsia" w:ascii="宋体" w:hAnsi="宋体" w:eastAsia="宋体" w:cs="Times New Roman"/>
                <w:color w:val="auto"/>
                <w:szCs w:val="21"/>
                <w:u w:val="none"/>
              </w:rPr>
              <w:t>提供的相关证明材料真实有效，不存在弄虚作假情形。</w:t>
            </w:r>
            <w:r>
              <w:rPr>
                <w:rFonts w:ascii="宋体" w:hAnsi="宋体" w:eastAsia="宋体" w:cs="Times New Roman"/>
                <w:color w:val="auto"/>
                <w:szCs w:val="21"/>
                <w:u w:val="none"/>
              </w:rPr>
              <w:t>招标人在</w:t>
            </w:r>
            <w:r>
              <w:rPr>
                <w:rFonts w:hint="eastAsia" w:ascii="宋体" w:hAnsi="宋体" w:eastAsia="宋体" w:cs="Times New Roman"/>
                <w:color w:val="auto"/>
                <w:szCs w:val="21"/>
                <w:u w:val="none"/>
              </w:rPr>
              <w:t>合同签订前</w:t>
            </w:r>
            <w:r>
              <w:rPr>
                <w:rFonts w:ascii="宋体" w:hAnsi="宋体" w:eastAsia="宋体" w:cs="Times New Roman"/>
                <w:color w:val="auto"/>
                <w:szCs w:val="21"/>
                <w:u w:val="none"/>
              </w:rPr>
              <w:t>均有权对投标人提供的</w:t>
            </w:r>
            <w:r>
              <w:rPr>
                <w:rFonts w:hint="eastAsia" w:ascii="宋体" w:hAnsi="宋体" w:eastAsia="宋体" w:cs="Times New Roman"/>
                <w:color w:val="auto"/>
                <w:szCs w:val="21"/>
                <w:u w:val="none"/>
              </w:rPr>
              <w:t>资料</w:t>
            </w:r>
            <w:r>
              <w:rPr>
                <w:rFonts w:ascii="宋体" w:hAnsi="宋体" w:eastAsia="宋体" w:cs="Times New Roman"/>
                <w:color w:val="auto"/>
                <w:szCs w:val="21"/>
                <w:u w:val="none"/>
              </w:rPr>
              <w:t>进行核实，</w:t>
            </w:r>
            <w:r>
              <w:rPr>
                <w:rFonts w:hint="eastAsia" w:ascii="宋体" w:hAnsi="宋体" w:eastAsia="宋体" w:cs="Times New Roman"/>
                <w:color w:val="auto"/>
                <w:szCs w:val="21"/>
                <w:u w:val="none"/>
              </w:rPr>
              <w:t>若发现弄虚作假，取消其中标资格，投标保证金不予退还，投标人承担因此造成的相关责任并赔偿相应损失</w:t>
            </w:r>
            <w:bookmarkEnd w:id="126"/>
            <w:r>
              <w:rPr>
                <w:rFonts w:hint="eastAsia" w:ascii="宋体" w:hAnsi="宋体" w:eastAsia="宋体" w:cs="Times New Roman"/>
                <w:color w:val="auto"/>
                <w:szCs w:val="21"/>
                <w:u w:val="none"/>
                <w:lang w:eastAsia="zh-CN"/>
              </w:rPr>
              <w:t>；</w:t>
            </w:r>
            <w:r>
              <w:rPr>
                <w:rFonts w:hint="eastAsia" w:ascii="宋体" w:hAnsi="宋体" w:eastAsia="宋体" w:cs="Times New Roman"/>
                <w:color w:val="auto"/>
                <w:szCs w:val="21"/>
                <w:u w:val="none"/>
              </w:rPr>
              <w:t>若中标后发现，取消中标资格，招标人有权单方解除/终止合同并没收其履约保证金，投标人承担因此造成的相关责任并赔偿相应损失</w:t>
            </w:r>
            <w:r>
              <w:rPr>
                <w:rFonts w:hint="eastAsia" w:ascii="宋体" w:hAnsi="宋体" w:cs="Times New Roman"/>
                <w:color w:val="auto"/>
                <w:szCs w:val="21"/>
                <w:u w:val="none"/>
                <w:lang w:eastAsia="zh-CN"/>
              </w:rPr>
              <w:t>，</w:t>
            </w:r>
            <w:r>
              <w:rPr>
                <w:rFonts w:hint="eastAsia" w:ascii="宋体" w:hAnsi="宋体" w:cs="Times New Roman"/>
                <w:color w:val="auto"/>
                <w:szCs w:val="21"/>
                <w:u w:val="none"/>
                <w:lang w:val="en-US" w:eastAsia="zh-CN"/>
              </w:rPr>
              <w:t>招标人不承担任何责任</w:t>
            </w:r>
            <w:r>
              <w:rPr>
                <w:rFonts w:hint="eastAsia" w:ascii="宋体" w:hAnsi="宋体" w:eastAsia="宋体" w:cs="Times New Roman"/>
                <w:color w:val="auto"/>
                <w:szCs w:val="21"/>
                <w:u w:val="none"/>
              </w:rPr>
              <w:t>。</w:t>
            </w:r>
          </w:p>
          <w:p>
            <w:pPr>
              <w:autoSpaceDE w:val="0"/>
              <w:autoSpaceDN w:val="0"/>
              <w:adjustRightInd w:val="0"/>
              <w:snapToGrid w:val="0"/>
              <w:spacing w:line="360" w:lineRule="auto"/>
              <w:ind w:firstLine="420" w:firstLineChars="200"/>
              <w:rPr>
                <w:rFonts w:hint="eastAsia" w:ascii="宋体" w:hAnsi="宋体" w:cs="Times New Roman"/>
                <w:color w:val="auto"/>
                <w:szCs w:val="21"/>
                <w:lang w:val="en-US"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投</w:t>
            </w:r>
            <w:r>
              <w:rPr>
                <w:rFonts w:hint="eastAsia" w:ascii="宋体" w:hAnsi="宋体" w:eastAsia="宋体" w:cs="Times New Roman"/>
                <w:color w:val="auto"/>
                <w:szCs w:val="21"/>
              </w:rPr>
              <w:t>标人</w:t>
            </w:r>
            <w:r>
              <w:rPr>
                <w:rFonts w:hint="eastAsia" w:ascii="宋体" w:hAnsi="宋体" w:eastAsia="宋体" w:cs="Times New Roman"/>
                <w:color w:val="auto"/>
                <w:szCs w:val="21"/>
                <w:lang w:val="en-US" w:eastAsia="zh-CN"/>
              </w:rPr>
              <w:t>近3年未被有关部门处罚且未处于投标禁入期、未被纳入失信惩戒对象。（提供信用中国网、中国政府采购网等相关网站截图）。</w:t>
            </w:r>
            <w:r>
              <w:rPr>
                <w:rFonts w:hint="eastAsia" w:ascii="宋体" w:hAnsi="宋体" w:cs="Times New Roman"/>
                <w:color w:val="auto"/>
                <w:szCs w:val="21"/>
                <w:lang w:val="en-US" w:eastAsia="zh-CN"/>
              </w:rPr>
              <w:t xml:space="preserve">            </w:t>
            </w:r>
          </w:p>
          <w:p>
            <w:pPr>
              <w:autoSpaceDE w:val="0"/>
              <w:autoSpaceDN w:val="0"/>
              <w:adjustRightInd w:val="0"/>
              <w:snapToGrid w:val="0"/>
              <w:spacing w:line="360" w:lineRule="auto"/>
              <w:ind w:firstLine="420" w:firstLineChars="200"/>
              <w:rPr>
                <w:rFonts w:hint="eastAsia" w:ascii="宋体" w:hAnsi="宋体" w:eastAsia="宋体" w:cs="Times New Roman"/>
                <w:color w:val="auto"/>
                <w:szCs w:val="21"/>
                <w:u w:val="none"/>
                <w:lang w:val="en-US" w:eastAsia="zh-CN"/>
              </w:rPr>
            </w:pPr>
            <w:r>
              <w:rPr>
                <w:rFonts w:hint="eastAsia" w:ascii="宋体" w:hAnsi="宋体" w:cs="Times New Roman"/>
                <w:color w:val="auto"/>
                <w:szCs w:val="21"/>
                <w:u w:val="none"/>
                <w:lang w:val="en-US" w:eastAsia="zh-CN"/>
              </w:rPr>
              <w:t>（</w:t>
            </w:r>
            <w:r>
              <w:rPr>
                <w:rFonts w:hint="eastAsia" w:ascii="宋体" w:hAnsi="宋体" w:eastAsia="宋体" w:cs="Times New Roman"/>
                <w:color w:val="auto"/>
                <w:szCs w:val="21"/>
                <w:u w:val="none"/>
                <w:lang w:val="en-US" w:eastAsia="zh-CN"/>
              </w:rPr>
              <w:t>4）投标人若为重庆市市外企业，需满足《重庆市市外建筑施工企业入渝登记备案管理办法》的要求，并提供相关证明文件。</w:t>
            </w:r>
          </w:p>
          <w:p>
            <w:pPr>
              <w:autoSpaceDE w:val="0"/>
              <w:autoSpaceDN w:val="0"/>
              <w:adjustRightInd w:val="0"/>
              <w:snapToGrid w:val="0"/>
              <w:spacing w:line="360" w:lineRule="auto"/>
              <w:ind w:firstLine="420" w:firstLineChars="200"/>
              <w:rPr>
                <w:rFonts w:hint="default" w:ascii="宋体" w:hAnsi="宋体" w:eastAsia="宋体" w:cs="Times New Roman"/>
                <w:color w:val="FF0000"/>
                <w:szCs w:val="21"/>
                <w:u w:val="wave"/>
                <w:lang w:val="en-US" w:eastAsia="zh-CN"/>
              </w:rPr>
            </w:pPr>
            <w:r>
              <w:rPr>
                <w:rFonts w:hint="eastAsia" w:ascii="宋体" w:hAnsi="宋体" w:eastAsia="宋体" w:cs="Times New Roman"/>
                <w:color w:val="auto"/>
                <w:szCs w:val="21"/>
                <w:u w:val="none"/>
                <w:lang w:val="en-US" w:eastAsia="zh-CN"/>
              </w:rPr>
              <w:t>投标人须在投标文件资格审查部分提供有效的证明文件复印件</w:t>
            </w:r>
          </w:p>
          <w:p>
            <w:pPr>
              <w:autoSpaceDE w:val="0"/>
              <w:autoSpaceDN w:val="0"/>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特别说明：</w:t>
            </w:r>
          </w:p>
          <w:p>
            <w:pPr>
              <w:autoSpaceDE w:val="0"/>
              <w:autoSpaceDN w:val="0"/>
              <w:adjustRightInd w:val="0"/>
              <w:snapToGrid w:val="0"/>
              <w:spacing w:line="360" w:lineRule="auto"/>
              <w:ind w:firstLine="420" w:firstLineChars="200"/>
              <w:rPr>
                <w:rFonts w:hint="default" w:ascii="宋体" w:hAnsi="宋体" w:eastAsia="宋体"/>
                <w:bCs/>
                <w:snapToGrid w:val="0"/>
                <w:color w:val="auto"/>
                <w:kern w:val="0"/>
                <w:szCs w:val="21"/>
                <w:lang w:val="en-US" w:eastAsia="zh-CN"/>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上述要求须提交的相关证明材料均应加盖投标单位</w:t>
            </w:r>
            <w:r>
              <w:rPr>
                <w:rFonts w:hint="eastAsia" w:ascii="宋体" w:hAnsi="宋体" w:cs="宋体"/>
                <w:color w:val="auto"/>
                <w:szCs w:val="21"/>
                <w:lang w:val="en-US" w:eastAsia="zh-CN"/>
              </w:rPr>
              <w:t>公</w:t>
            </w:r>
            <w:r>
              <w:rPr>
                <w:rFonts w:hint="eastAsia" w:ascii="宋体" w:hAnsi="宋体" w:cs="宋体"/>
                <w:color w:val="auto"/>
                <w:szCs w:val="21"/>
              </w:rPr>
              <w:t>章并装入投标文件资格审查部分中。上述要求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1.4.2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联合体投标</w:t>
            </w:r>
          </w:p>
        </w:tc>
        <w:tc>
          <w:tcPr>
            <w:tcW w:w="6785" w:type="dxa"/>
            <w:vAlign w:val="center"/>
          </w:tcPr>
          <w:p>
            <w:pPr>
              <w:snapToGrid w:val="0"/>
              <w:spacing w:line="42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val="en-US" w:eastAsia="zh-CN"/>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1.9.1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踏勘现场</w:t>
            </w:r>
          </w:p>
        </w:tc>
        <w:tc>
          <w:tcPr>
            <w:tcW w:w="6785" w:type="dxa"/>
            <w:vAlign w:val="center"/>
          </w:tcPr>
          <w:p>
            <w:pPr>
              <w:snapToGrid w:val="0"/>
              <w:spacing w:line="420" w:lineRule="exact"/>
              <w:ind w:firstLine="420" w:firstLineChars="200"/>
              <w:rPr>
                <w:rFonts w:hint="default" w:ascii="宋体" w:hAnsi="宋体" w:eastAsia="宋体"/>
                <w:color w:val="auto"/>
                <w:kern w:val="0"/>
                <w:szCs w:val="21"/>
                <w:lang w:val="en-US" w:eastAsia="zh-CN"/>
              </w:rPr>
            </w:pPr>
            <w:r>
              <w:rPr>
                <w:rFonts w:ascii="宋体" w:hAnsi="宋体"/>
                <w:color w:val="auto"/>
                <w:kern w:val="0"/>
                <w:szCs w:val="21"/>
              </w:rPr>
              <w:t>不组织</w:t>
            </w:r>
            <w:r>
              <w:rPr>
                <w:rFonts w:hint="eastAsia" w:ascii="宋体" w:hAnsi="宋体"/>
                <w:color w:val="auto"/>
                <w:kern w:val="0"/>
                <w:szCs w:val="21"/>
                <w:lang w:eastAsia="zh-CN"/>
              </w:rPr>
              <w:t>，</w:t>
            </w:r>
            <w:r>
              <w:rPr>
                <w:rFonts w:hint="eastAsia" w:ascii="宋体" w:hAnsi="宋体"/>
                <w:color w:val="auto"/>
                <w:kern w:val="0"/>
                <w:szCs w:val="21"/>
                <w:lang w:val="en-US" w:eastAsia="zh-CN"/>
              </w:rPr>
              <w:t>但投标人可自行踏勘。无论投标人是否踏勘过现场，均被认为在递交投标文件之前已经踏勘现场，对本项目的风险和义务已经十分了解，并在其投标文件中已充分考虑了现场和环境条件。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1.10.1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投标预备会</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1.11</w:t>
            </w:r>
            <w:r>
              <w:rPr>
                <w:rFonts w:hint="eastAsia" w:ascii="宋体" w:hAnsi="宋体"/>
                <w:color w:val="auto"/>
                <w:kern w:val="0"/>
                <w:szCs w:val="21"/>
              </w:rPr>
              <w:t>.2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szCs w:val="21"/>
              </w:rPr>
              <w:t>投标人拟分包的工作</w:t>
            </w:r>
          </w:p>
        </w:tc>
        <w:tc>
          <w:tcPr>
            <w:tcW w:w="6785" w:type="dxa"/>
            <w:vAlign w:val="center"/>
          </w:tcPr>
          <w:p>
            <w:pPr>
              <w:snapToGrid w:val="0"/>
              <w:spacing w:line="420" w:lineRule="exact"/>
              <w:ind w:firstLine="420" w:firstLineChars="200"/>
              <w:rPr>
                <w:rFonts w:hint="eastAsia" w:ascii="宋体" w:hAnsi="宋体" w:eastAsia="宋体"/>
                <w:color w:val="auto"/>
                <w:szCs w:val="21"/>
                <w:lang w:eastAsia="zh-CN"/>
              </w:rPr>
            </w:pPr>
            <w:r>
              <w:rPr>
                <w:rFonts w:hint="eastAsia" w:ascii="宋体" w:hAnsi="宋体"/>
                <w:color w:val="auto"/>
                <w:kern w:val="0"/>
                <w:szCs w:val="21"/>
                <w:lang w:val="en-US" w:eastAsia="zh-CN"/>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2.1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构成招标文件的其他材料</w:t>
            </w:r>
          </w:p>
        </w:tc>
        <w:tc>
          <w:tcPr>
            <w:tcW w:w="6785" w:type="dxa"/>
            <w:vAlign w:val="center"/>
          </w:tcPr>
          <w:p>
            <w:pPr>
              <w:snapToGrid w:val="0"/>
              <w:spacing w:line="420" w:lineRule="exact"/>
              <w:ind w:firstLine="420" w:firstLineChars="200"/>
              <w:rPr>
                <w:rFonts w:ascii="宋体" w:hAnsi="宋体"/>
                <w:color w:val="auto"/>
                <w:szCs w:val="21"/>
              </w:rPr>
            </w:pPr>
            <w:r>
              <w:rPr>
                <w:rFonts w:ascii="宋体" w:hAnsi="宋体"/>
                <w:color w:val="auto"/>
                <w:szCs w:val="21"/>
              </w:rPr>
              <w:t>招标人发出的澄清及修改</w:t>
            </w:r>
            <w:r>
              <w:rPr>
                <w:rFonts w:hint="eastAsia" w:ascii="宋体" w:hAnsi="宋体"/>
                <w:color w:val="auto"/>
                <w:szCs w:val="21"/>
                <w:u w:val="none"/>
                <w:lang w:val="en-US" w:eastAsia="zh-CN"/>
              </w:rPr>
              <w:t>及随招标文件一同公布的附件</w:t>
            </w:r>
            <w:r>
              <w:rPr>
                <w:rFonts w:hint="eastAsia" w:ascii="宋体" w:hAnsi="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560" w:type="dxa"/>
            <w:tcBorders>
              <w:bottom w:val="single" w:color="auto" w:sz="4" w:space="0"/>
            </w:tcBorders>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投标人对招标文件提出</w:t>
            </w:r>
            <w:r>
              <w:rPr>
                <w:rFonts w:hint="eastAsia" w:ascii="宋体" w:hAnsi="宋体"/>
                <w:color w:val="auto"/>
                <w:kern w:val="0"/>
                <w:szCs w:val="21"/>
              </w:rPr>
              <w:t>疑问</w:t>
            </w:r>
            <w:r>
              <w:rPr>
                <w:rFonts w:ascii="宋体" w:hAnsi="宋体"/>
                <w:color w:val="auto"/>
                <w:kern w:val="0"/>
                <w:szCs w:val="21"/>
              </w:rPr>
              <w:t>的截止时间</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投标人在收到招标文件后，应仔细检查招标文件的所有内容，如有残缺或文字表述不清，图纸尺寸标注不明以及存在错、碰、漏、缺、概念模糊和有可能出现歧义或理解上的偏差的内容等应</w:t>
            </w:r>
            <w:r>
              <w:rPr>
                <w:rFonts w:hint="eastAsia" w:ascii="宋体" w:hAnsi="宋体" w:cs="宋体"/>
                <w:color w:val="auto"/>
                <w:kern w:val="0"/>
                <w:szCs w:val="21"/>
              </w:rPr>
              <w:t>在招标公告规定的时间前</w:t>
            </w:r>
            <w:r>
              <w:rPr>
                <w:rFonts w:hint="eastAsia" w:ascii="宋体" w:hAnsi="宋体"/>
                <w:color w:val="auto"/>
                <w:kern w:val="0"/>
                <w:szCs w:val="21"/>
                <w:lang w:val="en-US" w:eastAsia="zh-CN"/>
              </w:rPr>
              <w:t>按照招标公告联系方式已书面形式提出疑问</w:t>
            </w:r>
            <w:r>
              <w:rPr>
                <w:rFonts w:hint="eastAsia" w:ascii="宋体" w:hAnsi="宋体"/>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24" w:type="dxa"/>
            <w:vMerge w:val="restart"/>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2.2.2</w:t>
            </w:r>
          </w:p>
        </w:tc>
        <w:tc>
          <w:tcPr>
            <w:tcW w:w="1560" w:type="dxa"/>
            <w:tcBorders>
              <w:top w:val="single" w:color="auto" w:sz="4" w:space="0"/>
            </w:tcBorders>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招标人对招标文件澄清的截止时间</w:t>
            </w:r>
          </w:p>
        </w:tc>
        <w:tc>
          <w:tcPr>
            <w:tcW w:w="6785" w:type="dxa"/>
            <w:vAlign w:val="center"/>
          </w:tcPr>
          <w:p>
            <w:pPr>
              <w:snapToGrid w:val="0"/>
              <w:spacing w:line="420" w:lineRule="exact"/>
              <w:ind w:firstLine="420" w:firstLineChars="200"/>
              <w:rPr>
                <w:rFonts w:ascii="宋体" w:hAnsi="宋体"/>
                <w:snapToGrid w:val="0"/>
                <w:color w:val="auto"/>
                <w:kern w:val="0"/>
                <w:szCs w:val="21"/>
                <w:u w:val="none"/>
              </w:rPr>
            </w:pPr>
            <w:r>
              <w:rPr>
                <w:rFonts w:hint="eastAsia" w:ascii="宋体" w:hAnsi="宋体"/>
                <w:color w:val="auto"/>
                <w:szCs w:val="21"/>
                <w:u w:val="none"/>
              </w:rPr>
              <w:t>招标人应在招标公告规定的时间前</w:t>
            </w:r>
            <w:r>
              <w:rPr>
                <w:rFonts w:ascii="宋体" w:hAnsi="宋体"/>
                <w:color w:val="auto"/>
                <w:szCs w:val="21"/>
                <w:u w:val="none"/>
              </w:rPr>
              <w:t>，</w:t>
            </w:r>
            <w:r>
              <w:rPr>
                <w:rFonts w:ascii="宋体" w:hAnsi="宋体"/>
                <w:color w:val="auto"/>
                <w:kern w:val="0"/>
                <w:szCs w:val="21"/>
                <w:u w:val="none"/>
              </w:rPr>
              <w:t>在</w:t>
            </w:r>
            <w:r>
              <w:rPr>
                <w:rFonts w:hint="eastAsia" w:ascii="宋体" w:hAnsi="宋体"/>
                <w:color w:val="auto"/>
                <w:szCs w:val="21"/>
                <w:u w:val="none"/>
                <w:lang w:eastAsia="zh-CN"/>
              </w:rPr>
              <w:t>重庆市建筑科学研究院有限公司</w:t>
            </w:r>
            <w:r>
              <w:rPr>
                <w:rFonts w:hint="eastAsia" w:ascii="宋体" w:hAnsi="宋体"/>
                <w:color w:val="auto"/>
                <w:szCs w:val="21"/>
                <w:u w:val="none"/>
                <w:lang w:val="en-US" w:eastAsia="zh-CN"/>
              </w:rPr>
              <w:t>网站</w:t>
            </w:r>
            <w:r>
              <w:rPr>
                <w:rFonts w:hint="eastAsia" w:ascii="宋体" w:hAnsi="宋体"/>
                <w:color w:val="auto"/>
                <w:szCs w:val="21"/>
                <w:u w:val="none"/>
                <w:lang w:eastAsia="zh-CN"/>
              </w:rPr>
              <w:t>（http://www.cqsjky.com）</w:t>
            </w:r>
            <w:r>
              <w:rPr>
                <w:rFonts w:ascii="宋体" w:hAnsi="宋体"/>
                <w:color w:val="auto"/>
                <w:kern w:val="0"/>
                <w:szCs w:val="21"/>
                <w:u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24" w:type="dxa"/>
            <w:vMerge w:val="continue"/>
            <w:vAlign w:val="center"/>
          </w:tcPr>
          <w:p>
            <w:pPr>
              <w:snapToGrid w:val="0"/>
              <w:spacing w:line="420" w:lineRule="exact"/>
              <w:jc w:val="center"/>
              <w:rPr>
                <w:rFonts w:ascii="宋体" w:hAnsi="宋体"/>
                <w:color w:val="auto"/>
                <w:kern w:val="0"/>
                <w:szCs w:val="21"/>
              </w:rPr>
            </w:pPr>
          </w:p>
        </w:tc>
        <w:tc>
          <w:tcPr>
            <w:tcW w:w="1560"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投标截止时间</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rPr>
              <w:t>详见招标公告中规定的投标文件递交截止时间。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2.2.3</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招标人对招标文件进行修改的时间</w:t>
            </w:r>
          </w:p>
        </w:tc>
        <w:tc>
          <w:tcPr>
            <w:tcW w:w="6785" w:type="dxa"/>
            <w:vAlign w:val="center"/>
          </w:tcPr>
          <w:p>
            <w:pPr>
              <w:snapToGrid w:val="0"/>
              <w:spacing w:line="420" w:lineRule="exact"/>
              <w:ind w:firstLine="420" w:firstLineChars="200"/>
              <w:rPr>
                <w:rFonts w:hint="default" w:ascii="宋体" w:hAnsi="宋体" w:eastAsia="宋体"/>
                <w:color w:val="auto"/>
                <w:szCs w:val="21"/>
                <w:u w:val="none"/>
                <w:lang w:val="en-US" w:eastAsia="zh-CN"/>
              </w:rPr>
            </w:pPr>
            <w:r>
              <w:rPr>
                <w:rFonts w:ascii="宋体" w:hAnsi="宋体"/>
                <w:snapToGrid w:val="0"/>
                <w:color w:val="auto"/>
                <w:kern w:val="0"/>
                <w:szCs w:val="21"/>
                <w:u w:val="none"/>
              </w:rPr>
              <w:t>修改内容可能影响投标文件编制的，须在</w:t>
            </w:r>
            <w:r>
              <w:rPr>
                <w:rFonts w:hint="eastAsia" w:ascii="宋体" w:hAnsi="宋体"/>
                <w:snapToGrid w:val="0"/>
                <w:color w:val="auto"/>
                <w:kern w:val="0"/>
                <w:szCs w:val="21"/>
                <w:u w:val="none"/>
                <w:lang w:val="en-US" w:eastAsia="zh-CN"/>
              </w:rPr>
              <w:t>招标公告中规定的澄清时间前在</w:t>
            </w:r>
            <w:r>
              <w:rPr>
                <w:rFonts w:hint="eastAsia" w:ascii="宋体" w:hAnsi="宋体"/>
                <w:snapToGrid w:val="0"/>
                <w:color w:val="auto"/>
                <w:kern w:val="0"/>
                <w:szCs w:val="21"/>
                <w:u w:val="none"/>
                <w:lang w:eastAsia="zh-CN"/>
              </w:rPr>
              <w:t>重庆市建筑科学研究院有限公司</w:t>
            </w:r>
            <w:r>
              <w:rPr>
                <w:rFonts w:hint="eastAsia" w:ascii="宋体" w:hAnsi="宋体"/>
                <w:snapToGrid w:val="0"/>
                <w:color w:val="auto"/>
                <w:kern w:val="0"/>
                <w:szCs w:val="21"/>
                <w:u w:val="none"/>
                <w:lang w:val="en-US" w:eastAsia="zh-CN"/>
              </w:rPr>
              <w:t>网站</w:t>
            </w:r>
            <w:r>
              <w:rPr>
                <w:rFonts w:hint="eastAsia" w:ascii="宋体" w:hAnsi="宋体"/>
                <w:snapToGrid w:val="0"/>
                <w:color w:val="auto"/>
                <w:kern w:val="0"/>
                <w:szCs w:val="21"/>
                <w:u w:val="none"/>
                <w:lang w:eastAsia="zh-CN"/>
              </w:rPr>
              <w:t>（http://www.cqsjky.com）</w:t>
            </w:r>
            <w:r>
              <w:rPr>
                <w:rFonts w:hint="eastAsia" w:ascii="宋体" w:hAnsi="宋体"/>
                <w:snapToGrid w:val="0"/>
                <w:color w:val="auto"/>
                <w:kern w:val="0"/>
                <w:szCs w:val="21"/>
                <w:u w:val="none"/>
                <w:lang w:val="en-US" w:eastAsia="zh-CN"/>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3.1.1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构成投标文件的其他材料</w:t>
            </w:r>
          </w:p>
        </w:tc>
        <w:tc>
          <w:tcPr>
            <w:tcW w:w="6785" w:type="dxa"/>
            <w:vAlign w:val="center"/>
          </w:tcPr>
          <w:p>
            <w:pPr>
              <w:snapToGrid w:val="0"/>
              <w:spacing w:line="42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3.2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投标报价</w:t>
            </w:r>
          </w:p>
        </w:tc>
        <w:tc>
          <w:tcPr>
            <w:tcW w:w="6785" w:type="dxa"/>
            <w:vAlign w:val="center"/>
          </w:tcPr>
          <w:p>
            <w:pPr>
              <w:autoSpaceDE w:val="0"/>
              <w:autoSpaceDN w:val="0"/>
              <w:adjustRightInd w:val="0"/>
              <w:spacing w:line="360" w:lineRule="auto"/>
              <w:ind w:firstLine="422" w:firstLineChars="200"/>
              <w:rPr>
                <w:rFonts w:hint="eastAsia"/>
                <w:b/>
                <w:bCs/>
                <w:color w:val="auto"/>
                <w:lang w:val="en-US" w:eastAsia="zh-CN"/>
              </w:rPr>
            </w:pPr>
            <w:r>
              <w:rPr>
                <w:rFonts w:hint="eastAsia"/>
                <w:b/>
                <w:bCs/>
                <w:color w:val="auto"/>
                <w:lang w:val="en-US" w:eastAsia="zh-CN"/>
              </w:rPr>
              <w:t>一、</w:t>
            </w:r>
            <w:r>
              <w:rPr>
                <w:rFonts w:hint="eastAsia"/>
                <w:b/>
                <w:bCs/>
                <w:color w:val="auto"/>
              </w:rPr>
              <w:t>招标控制</w:t>
            </w:r>
            <w:r>
              <w:rPr>
                <w:rFonts w:hint="eastAsia"/>
                <w:b/>
                <w:bCs/>
                <w:color w:val="auto"/>
                <w:lang w:val="en-US" w:eastAsia="zh-CN"/>
              </w:rPr>
              <w:t>限价</w:t>
            </w:r>
          </w:p>
          <w:p>
            <w:pPr>
              <w:autoSpaceDE w:val="0"/>
              <w:autoSpaceDN w:val="0"/>
              <w:adjustRightInd w:val="0"/>
              <w:spacing w:line="360" w:lineRule="auto"/>
              <w:ind w:firstLine="420" w:firstLineChars="200"/>
              <w:rPr>
                <w:rFonts w:hint="eastAsia"/>
                <w:color w:val="auto"/>
                <w:u w:val="none"/>
              </w:rPr>
            </w:pPr>
            <w:r>
              <w:rPr>
                <w:rFonts w:hint="eastAsia"/>
                <w:color w:val="auto"/>
                <w:u w:val="none"/>
              </w:rPr>
              <w:t>招</w:t>
            </w:r>
            <w:r>
              <w:rPr>
                <w:rFonts w:hint="eastAsia"/>
                <w:color w:val="auto"/>
                <w:u w:val="none"/>
                <w:lang w:val="en-US" w:eastAsia="zh-CN"/>
              </w:rPr>
              <w:t>标控制限价为</w:t>
            </w:r>
            <w:r>
              <w:rPr>
                <w:rFonts w:hint="eastAsia"/>
                <w:color w:val="auto"/>
                <w:u w:val="single"/>
                <w:lang w:val="en-US" w:eastAsia="zh-CN"/>
              </w:rPr>
              <w:t xml:space="preserve">   3986571.53 </w:t>
            </w:r>
            <w:r>
              <w:rPr>
                <w:rFonts w:hint="eastAsia"/>
                <w:color w:val="auto"/>
                <w:u w:val="none"/>
                <w:lang w:val="en-US" w:eastAsia="zh-CN"/>
              </w:rPr>
              <w:t>元（大写：</w:t>
            </w:r>
            <w:r>
              <w:rPr>
                <w:rFonts w:hint="eastAsia"/>
                <w:color w:val="auto"/>
                <w:u w:val="single"/>
                <w:lang w:val="en-US" w:eastAsia="zh-CN"/>
              </w:rPr>
              <w:t xml:space="preserve"> 叁佰玖拾捌万陆仟伍佰柒拾壹元伍角叁分 </w:t>
            </w:r>
            <w:r>
              <w:rPr>
                <w:rFonts w:hint="eastAsia"/>
                <w:color w:val="auto"/>
                <w:u w:val="none"/>
                <w:lang w:val="en-US" w:eastAsia="zh-CN"/>
              </w:rPr>
              <w:t>）</w:t>
            </w:r>
            <w:r>
              <w:rPr>
                <w:rFonts w:hint="eastAsia"/>
                <w:color w:val="auto"/>
                <w:u w:val="none"/>
              </w:rPr>
              <w:t>，</w:t>
            </w:r>
            <w:r>
              <w:rPr>
                <w:rFonts w:hint="eastAsia"/>
                <w:color w:val="auto"/>
                <w:u w:val="none"/>
                <w:lang w:val="en-US" w:eastAsia="zh-CN"/>
              </w:rPr>
              <w:t>本招标控制价为含税金额，投标人的投标总报价不得超过招标控制限价，否则由评标委员会作否决投标处理</w:t>
            </w:r>
            <w:r>
              <w:rPr>
                <w:rFonts w:hint="eastAsia"/>
                <w:color w:val="auto"/>
                <w:u w:val="none"/>
              </w:rPr>
              <w:t>。</w:t>
            </w:r>
          </w:p>
          <w:p>
            <w:pPr>
              <w:pStyle w:val="2"/>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1、本工程招标设置全部清单全费用综合单价最高限价，详见第五章“</w:t>
            </w:r>
            <w:r>
              <w:rPr>
                <w:rFonts w:hint="eastAsia" w:cs="Times New Roman"/>
                <w:color w:val="auto"/>
                <w:kern w:val="2"/>
                <w:sz w:val="21"/>
                <w:szCs w:val="24"/>
                <w:lang w:val="en-US" w:eastAsia="zh-CN" w:bidi="ar-SA"/>
              </w:rPr>
              <w:t>工程量清单</w:t>
            </w:r>
            <w:r>
              <w:rPr>
                <w:rFonts w:hint="eastAsia" w:ascii="Times New Roman" w:hAnsi="Times New Roman" w:eastAsia="宋体" w:cs="Times New Roman"/>
                <w:color w:val="auto"/>
                <w:kern w:val="2"/>
                <w:sz w:val="21"/>
                <w:szCs w:val="24"/>
                <w:lang w:val="en-US" w:eastAsia="zh-CN" w:bidi="ar-SA"/>
              </w:rPr>
              <w:t>”，投标人的每项清单全费用综合单价报价不得超过每项清单全费用综合单价最高限价，否则由评标委员会作否决投标处理。</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2、限价中包含项目除甲供材料</w:t>
            </w:r>
            <w:r>
              <w:rPr>
                <w:rFonts w:hint="eastAsia" w:cs="Times New Roman"/>
                <w:color w:val="auto"/>
                <w:kern w:val="2"/>
                <w:sz w:val="21"/>
                <w:szCs w:val="24"/>
                <w:lang w:val="en-US" w:eastAsia="zh-CN" w:bidi="ar-SA"/>
              </w:rPr>
              <w:t>（</w:t>
            </w:r>
            <w:r>
              <w:rPr>
                <w:rFonts w:hint="eastAsia" w:cs="Times New Roman"/>
                <w:color w:val="auto"/>
                <w:kern w:val="2"/>
                <w:sz w:val="21"/>
                <w:szCs w:val="24"/>
                <w:u w:val="none"/>
                <w:lang w:val="en-US" w:eastAsia="zh-CN" w:bidi="ar-SA"/>
              </w:rPr>
              <w:t>详见第六章“图纸及甲供材料清单”</w:t>
            </w:r>
            <w:r>
              <w:rPr>
                <w:rFonts w:hint="eastAsia"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以外的所有材料。</w:t>
            </w:r>
          </w:p>
          <w:p>
            <w:pPr>
              <w:autoSpaceDE w:val="0"/>
              <w:autoSpaceDN w:val="0"/>
              <w:adjustRightInd w:val="0"/>
              <w:spacing w:line="360" w:lineRule="auto"/>
              <w:ind w:firstLine="420" w:firstLineChars="200"/>
              <w:rPr>
                <w:rFonts w:hint="eastAsia"/>
                <w:color w:val="auto"/>
              </w:rPr>
            </w:pPr>
            <w:r>
              <w:rPr>
                <w:rFonts w:hint="eastAsia"/>
                <w:color w:val="auto"/>
              </w:rPr>
              <w:t>注：投标单价应含项目的所有辅材。</w:t>
            </w:r>
          </w:p>
          <w:p>
            <w:pPr>
              <w:autoSpaceDE w:val="0"/>
              <w:autoSpaceDN w:val="0"/>
              <w:adjustRightInd w:val="0"/>
              <w:spacing w:line="360" w:lineRule="auto"/>
              <w:ind w:firstLine="422" w:firstLineChars="200"/>
              <w:rPr>
                <w:rFonts w:hint="eastAsia"/>
                <w:b/>
                <w:bCs/>
                <w:color w:val="auto"/>
                <w:lang w:val="en-US" w:eastAsia="zh-CN"/>
              </w:rPr>
            </w:pPr>
            <w:r>
              <w:rPr>
                <w:rFonts w:hint="eastAsia"/>
                <w:b/>
                <w:bCs/>
                <w:color w:val="auto"/>
                <w:lang w:val="en-US" w:eastAsia="zh-CN"/>
              </w:rPr>
              <w:t>二、报价及说明</w:t>
            </w:r>
          </w:p>
          <w:p>
            <w:pPr>
              <w:autoSpaceDE w:val="0"/>
              <w:autoSpaceDN w:val="0"/>
              <w:adjustRightInd w:val="0"/>
              <w:spacing w:line="360" w:lineRule="auto"/>
              <w:ind w:firstLine="420" w:firstLineChars="200"/>
              <w:rPr>
                <w:rFonts w:hint="eastAsia"/>
                <w:color w:val="auto"/>
              </w:rPr>
            </w:pPr>
            <w:r>
              <w:rPr>
                <w:rFonts w:hint="eastAsia"/>
                <w:color w:val="auto"/>
              </w:rPr>
              <w:t>1、投标人应按本须知和第</w:t>
            </w:r>
            <w:r>
              <w:rPr>
                <w:rFonts w:hint="eastAsia"/>
                <w:color w:val="auto"/>
                <w:lang w:val="en-US" w:eastAsia="zh-CN"/>
              </w:rPr>
              <w:t>五</w:t>
            </w:r>
            <w:r>
              <w:rPr>
                <w:rFonts w:hint="eastAsia"/>
                <w:color w:val="auto"/>
              </w:rPr>
              <w:t>章“</w:t>
            </w:r>
            <w:r>
              <w:rPr>
                <w:rFonts w:hint="eastAsia" w:cs="Times New Roman"/>
                <w:color w:val="auto"/>
                <w:kern w:val="2"/>
                <w:sz w:val="21"/>
                <w:szCs w:val="24"/>
                <w:lang w:val="en-US" w:eastAsia="zh-CN" w:bidi="ar-SA"/>
              </w:rPr>
              <w:t>工程量清单</w:t>
            </w:r>
            <w:r>
              <w:rPr>
                <w:rFonts w:hint="eastAsia"/>
                <w:color w:val="auto"/>
              </w:rPr>
              <w:t>”的要求填写相应清单表格。投标人的投标报价应是本章投标人须知前附表 1.3.1 项中所述的本工程招标范围内的全部工程的投标报价，</w:t>
            </w:r>
            <w:r>
              <w:rPr>
                <w:rFonts w:hint="eastAsia"/>
                <w:color w:val="auto"/>
                <w:u w:val="none"/>
                <w:shd w:val="clear" w:color="auto" w:fill="auto"/>
              </w:rPr>
              <w:t>并以投标人在</w:t>
            </w:r>
            <w:r>
              <w:rPr>
                <w:rFonts w:hint="eastAsia"/>
                <w:color w:val="auto"/>
                <w:u w:val="none"/>
                <w:shd w:val="clear" w:color="auto" w:fill="auto"/>
                <w:lang w:val="en-US" w:eastAsia="zh-CN"/>
              </w:rPr>
              <w:t>投标报价</w:t>
            </w:r>
            <w:r>
              <w:rPr>
                <w:rFonts w:hint="eastAsia"/>
                <w:color w:val="auto"/>
                <w:u w:val="none"/>
                <w:shd w:val="clear" w:color="auto" w:fill="auto"/>
              </w:rPr>
              <w:t>清单中提出的单价为依据</w:t>
            </w:r>
            <w:r>
              <w:rPr>
                <w:rFonts w:hint="eastAsia"/>
                <w:color w:val="auto"/>
              </w:rPr>
              <w:t>，本工程采用固定全费用综合单价计价方式。</w:t>
            </w:r>
          </w:p>
          <w:p>
            <w:pPr>
              <w:pStyle w:val="25"/>
              <w:spacing w:line="360" w:lineRule="auto"/>
              <w:ind w:left="0" w:leftChars="0" w:firstLine="420" w:firstLineChars="200"/>
              <w:jc w:val="left"/>
              <w:rPr>
                <w:rFonts w:hint="eastAsia"/>
                <w:color w:val="auto"/>
                <w:lang w:val="en-US" w:eastAsia="zh-CN"/>
              </w:rPr>
            </w:pPr>
            <w:r>
              <w:rPr>
                <w:rFonts w:hint="eastAsia"/>
                <w:color w:val="auto"/>
                <w:lang w:val="en-US" w:eastAsia="zh-CN"/>
              </w:rPr>
              <w:t>2、报价原则：</w:t>
            </w:r>
          </w:p>
          <w:p>
            <w:pPr>
              <w:pStyle w:val="25"/>
              <w:spacing w:line="360" w:lineRule="auto"/>
              <w:ind w:left="0" w:leftChars="0" w:firstLine="420" w:firstLineChars="200"/>
              <w:jc w:val="left"/>
              <w:rPr>
                <w:rFonts w:hint="eastAsia"/>
                <w:color w:val="auto"/>
                <w:lang w:val="en-US" w:eastAsia="zh-CN"/>
              </w:rPr>
            </w:pPr>
            <w:r>
              <w:rPr>
                <w:rFonts w:hint="eastAsia"/>
                <w:color w:val="auto"/>
                <w:lang w:val="en-US" w:eastAsia="zh-CN"/>
              </w:rPr>
              <w:t>2.1 本招标工程由投标单位以招标文件、合同条件、工程量清单、本次招标范围的施工设计图</w:t>
            </w:r>
            <w:r>
              <w:rPr>
                <w:rFonts w:hint="eastAsia"/>
                <w:color w:val="auto"/>
                <w:u w:val="none"/>
                <w:lang w:val="en-US" w:eastAsia="zh-CN"/>
              </w:rPr>
              <w:t>及甲供材料清单</w:t>
            </w:r>
            <w:r>
              <w:rPr>
                <w:rFonts w:hint="eastAsia"/>
                <w:color w:val="auto"/>
                <w:lang w:val="en-US" w:eastAsia="zh-CN"/>
              </w:rPr>
              <w:t>、现场踏勘情况、国家技术和经济规范及标准 （清单计价规范、定额）和相关配套文件解释为依据，各投标人结合自身实力和市场情况自行报价。</w:t>
            </w:r>
          </w:p>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color w:val="auto"/>
                <w:lang w:val="en-US" w:eastAsia="zh-CN"/>
              </w:rPr>
              <w:t xml:space="preserve">2.2 </w:t>
            </w:r>
            <w:r>
              <w:rPr>
                <w:rFonts w:hint="eastAsia" w:ascii="Times New Roman" w:hAnsi="Times New Roman" w:eastAsia="宋体" w:cs="Times New Roman"/>
                <w:color w:val="auto"/>
                <w:kern w:val="2"/>
                <w:sz w:val="21"/>
                <w:szCs w:val="22"/>
                <w:lang w:val="en-US" w:eastAsia="zh-CN" w:bidi="ar-SA"/>
              </w:rPr>
              <w:t>本次招标采用全费用综合清单计价的报价方式。本项目投标报价包含但不限于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w:t>
            </w:r>
            <w:r>
              <w:rPr>
                <w:rFonts w:hint="eastAsia" w:cs="Times New Roman"/>
                <w:color w:val="auto"/>
                <w:kern w:val="2"/>
                <w:sz w:val="21"/>
                <w:szCs w:val="22"/>
                <w:lang w:val="en-US" w:eastAsia="zh-CN" w:bidi="ar-SA"/>
              </w:rPr>
              <w:t>、水费</w:t>
            </w:r>
            <w:r>
              <w:rPr>
                <w:rFonts w:hint="eastAsia" w:ascii="Times New Roman" w:hAnsi="Times New Roman" w:eastAsia="宋体" w:cs="Times New Roman"/>
                <w:color w:val="auto"/>
                <w:kern w:val="2"/>
                <w:sz w:val="21"/>
                <w:szCs w:val="22"/>
                <w:lang w:val="en-US" w:eastAsia="zh-CN" w:bidi="ar-SA"/>
              </w:rPr>
              <w:t>、二次搬运费、任何因素引起的临时停工费、甲供材料机械设备的看护费、资料编制及整理费、第三方配合费及其他在施工中需要乙方支出的费用、验收和政策性文件的各项风险等与工程有关的一切费用和价款以及承包人为完成合同全部义务应承担的一切成本、费用和支出以及承包人的合理利润等所有费用。</w:t>
            </w:r>
          </w:p>
          <w:p>
            <w:pPr>
              <w:pStyle w:val="2"/>
              <w:spacing w:line="360" w:lineRule="auto"/>
              <w:ind w:firstLine="420"/>
              <w:rPr>
                <w:rFonts w:hint="eastAsia" w:ascii="Times New Roman" w:hAnsi="Times New Roman" w:eastAsia="宋体" w:cs="Times New Roman"/>
                <w:color w:val="auto"/>
                <w:kern w:val="2"/>
                <w:sz w:val="21"/>
                <w:szCs w:val="22"/>
                <w:u w:val="none"/>
                <w:lang w:val="en-US" w:eastAsia="zh-CN" w:bidi="ar-SA"/>
              </w:rPr>
            </w:pPr>
            <w:r>
              <w:rPr>
                <w:rFonts w:hint="eastAsia" w:ascii="Times New Roman" w:hAnsi="Times New Roman" w:eastAsia="宋体" w:cs="Times New Roman"/>
                <w:color w:val="auto"/>
                <w:kern w:val="2"/>
                <w:sz w:val="21"/>
                <w:szCs w:val="22"/>
                <w:lang w:val="en-US" w:eastAsia="zh-CN" w:bidi="ar-SA"/>
              </w:rPr>
              <w:t>2.3 人工费：本工程人工单价，</w:t>
            </w:r>
            <w:r>
              <w:rPr>
                <w:rFonts w:hint="eastAsia" w:cs="Times New Roman"/>
                <w:color w:val="auto"/>
                <w:kern w:val="2"/>
                <w:sz w:val="21"/>
                <w:szCs w:val="22"/>
                <w:lang w:val="en-US" w:eastAsia="zh-CN" w:bidi="ar-SA"/>
              </w:rPr>
              <w:t>由各</w:t>
            </w:r>
            <w:r>
              <w:rPr>
                <w:rFonts w:hint="eastAsia" w:ascii="Times New Roman" w:hAnsi="Times New Roman" w:eastAsia="宋体" w:cs="Times New Roman"/>
                <w:color w:val="auto"/>
                <w:kern w:val="2"/>
                <w:sz w:val="21"/>
                <w:szCs w:val="22"/>
                <w:lang w:val="en-US" w:eastAsia="zh-CN" w:bidi="ar-SA"/>
              </w:rPr>
              <w:t>投标单位结合市场行情自主测算</w:t>
            </w:r>
            <w:r>
              <w:rPr>
                <w:rFonts w:hint="eastAsia" w:cs="Times New Roman"/>
                <w:color w:val="auto"/>
                <w:kern w:val="2"/>
                <w:sz w:val="21"/>
                <w:szCs w:val="22"/>
                <w:u w:val="none"/>
                <w:lang w:val="en-US" w:eastAsia="zh-CN" w:bidi="ar-SA"/>
              </w:rPr>
              <w:t>纳入</w:t>
            </w:r>
            <w:r>
              <w:rPr>
                <w:rFonts w:hint="eastAsia" w:ascii="Times New Roman" w:hAnsi="Times New Roman" w:eastAsia="宋体" w:cs="Times New Roman"/>
                <w:color w:val="auto"/>
                <w:kern w:val="2"/>
                <w:sz w:val="21"/>
                <w:szCs w:val="22"/>
                <w:u w:val="none"/>
                <w:lang w:val="en-US" w:eastAsia="zh-CN" w:bidi="ar-SA"/>
              </w:rPr>
              <w:t>各全费用综合单价中，中标后不再调整；</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u w:val="none"/>
                <w:lang w:val="en-US" w:eastAsia="zh-CN" w:bidi="ar-SA"/>
              </w:rPr>
              <w:t>2.4 材料费：本工程除甲供材料以外的材料由各投标人结合市场行情以及自身实力自主报价</w:t>
            </w:r>
            <w:r>
              <w:rPr>
                <w:rFonts w:hint="eastAsia" w:cs="Times New Roman"/>
                <w:color w:val="auto"/>
                <w:kern w:val="2"/>
                <w:sz w:val="21"/>
                <w:szCs w:val="22"/>
                <w:u w:val="none"/>
                <w:lang w:val="en-US" w:eastAsia="zh-CN" w:bidi="ar-SA"/>
              </w:rPr>
              <w:t>纳入</w:t>
            </w:r>
            <w:r>
              <w:rPr>
                <w:rFonts w:hint="eastAsia" w:ascii="Times New Roman" w:hAnsi="Times New Roman" w:eastAsia="宋体" w:cs="Times New Roman"/>
                <w:color w:val="auto"/>
                <w:kern w:val="2"/>
                <w:sz w:val="21"/>
                <w:szCs w:val="22"/>
                <w:u w:val="none"/>
                <w:lang w:val="en-US" w:eastAsia="zh-CN" w:bidi="ar-SA"/>
              </w:rPr>
              <w:t>各全</w:t>
            </w:r>
            <w:r>
              <w:rPr>
                <w:rFonts w:hint="eastAsia" w:ascii="Times New Roman" w:hAnsi="Times New Roman" w:eastAsia="宋体" w:cs="Times New Roman"/>
                <w:color w:val="auto"/>
                <w:kern w:val="2"/>
                <w:sz w:val="21"/>
                <w:szCs w:val="22"/>
                <w:lang w:val="en-US" w:eastAsia="zh-CN" w:bidi="ar-SA"/>
              </w:rPr>
              <w:t>费用综合单价中，中标后不再调整</w:t>
            </w:r>
            <w:r>
              <w:rPr>
                <w:rFonts w:hint="eastAsia" w:cs="Times New Roman"/>
                <w:color w:val="auto"/>
                <w:kern w:val="2"/>
                <w:sz w:val="21"/>
                <w:szCs w:val="22"/>
                <w:lang w:val="en-US" w:eastAsia="zh-CN" w:bidi="ar-SA"/>
              </w:rPr>
              <w:t>。</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（1）本工程所需的应由中标人采购的材料，必须</w:t>
            </w:r>
            <w:r>
              <w:rPr>
                <w:rFonts w:hint="eastAsia" w:cs="Times New Roman"/>
                <w:color w:val="auto"/>
                <w:kern w:val="2"/>
                <w:sz w:val="21"/>
                <w:szCs w:val="22"/>
                <w:lang w:val="en-US" w:eastAsia="zh-CN" w:bidi="ar-SA"/>
              </w:rPr>
              <w:t>采用常用品牌且</w:t>
            </w:r>
            <w:r>
              <w:rPr>
                <w:rFonts w:hint="eastAsia" w:ascii="Times New Roman" w:hAnsi="Times New Roman" w:eastAsia="宋体" w:cs="Times New Roman"/>
                <w:color w:val="auto"/>
                <w:kern w:val="2"/>
                <w:sz w:val="21"/>
                <w:szCs w:val="22"/>
                <w:lang w:val="en-US" w:eastAsia="zh-CN" w:bidi="ar-SA"/>
              </w:rPr>
              <w:t>符合国家规范标准及设计文件、招标文件要求，并提供相应合格证明资料、质保书等。工程实施时，需先提供各种材料的样品，经招标人对样品确认后，中标人方可进行材料的采购和下一步的施工，由此发生的相关费用纳入投标报价中。</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（2）本工程材料运输距离、仓储、保管、库损、二次转运费、大型机械进出场费、检验试验费</w:t>
            </w:r>
            <w:r>
              <w:rPr>
                <w:rFonts w:hint="eastAsia" w:cs="Times New Roman"/>
                <w:color w:val="auto"/>
                <w:kern w:val="2"/>
                <w:sz w:val="21"/>
                <w:szCs w:val="22"/>
                <w:lang w:val="en-US" w:eastAsia="zh-CN" w:bidi="ar-SA"/>
              </w:rPr>
              <w:t>、</w:t>
            </w:r>
            <w:r>
              <w:rPr>
                <w:rFonts w:hint="eastAsia" w:ascii="Times New Roman" w:hAnsi="Times New Roman" w:eastAsia="宋体" w:cs="Times New Roman"/>
                <w:color w:val="auto"/>
                <w:kern w:val="2"/>
                <w:sz w:val="21"/>
                <w:szCs w:val="22"/>
                <w:lang w:val="en-US" w:eastAsia="zh-CN" w:bidi="ar-SA"/>
              </w:rPr>
              <w:t>与其他施工单位的配合费</w:t>
            </w:r>
            <w:r>
              <w:rPr>
                <w:rFonts w:hint="eastAsia" w:cs="Times New Roman"/>
                <w:color w:val="auto"/>
                <w:kern w:val="2"/>
                <w:sz w:val="21"/>
                <w:szCs w:val="22"/>
                <w:lang w:val="en-US" w:eastAsia="zh-CN" w:bidi="ar-SA"/>
              </w:rPr>
              <w:t>及甲供材料的下车、仓储、保管、二次转运费用</w:t>
            </w:r>
            <w:r>
              <w:rPr>
                <w:rFonts w:hint="eastAsia" w:ascii="Times New Roman" w:hAnsi="Times New Roman" w:eastAsia="宋体" w:cs="Times New Roman"/>
                <w:color w:val="auto"/>
                <w:kern w:val="2"/>
                <w:sz w:val="21"/>
                <w:szCs w:val="22"/>
                <w:lang w:val="en-US" w:eastAsia="zh-CN" w:bidi="ar-SA"/>
              </w:rPr>
              <w:t>等由投标单位根据自身情况及踏勘现场情况自行确定并综合考虑</w:t>
            </w:r>
            <w:r>
              <w:rPr>
                <w:rFonts w:hint="eastAsia" w:cs="Times New Roman"/>
                <w:color w:val="auto"/>
                <w:kern w:val="2"/>
                <w:sz w:val="21"/>
                <w:szCs w:val="22"/>
                <w:u w:val="none"/>
                <w:lang w:val="en-US" w:eastAsia="zh-CN" w:bidi="ar-SA"/>
              </w:rPr>
              <w:t>纳入</w:t>
            </w:r>
            <w:r>
              <w:rPr>
                <w:rFonts w:hint="eastAsia" w:ascii="Times New Roman" w:hAnsi="Times New Roman" w:eastAsia="宋体" w:cs="Times New Roman"/>
                <w:color w:val="auto"/>
                <w:kern w:val="2"/>
                <w:sz w:val="21"/>
                <w:szCs w:val="22"/>
                <w:lang w:val="en-US" w:eastAsia="zh-CN" w:bidi="ar-SA"/>
              </w:rPr>
              <w:t>报价中,不再另行计取。</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w:t>
            </w:r>
            <w:r>
              <w:rPr>
                <w:rFonts w:hint="eastAsia" w:cs="Times New Roman"/>
                <w:color w:val="auto"/>
                <w:kern w:val="2"/>
                <w:sz w:val="21"/>
                <w:szCs w:val="22"/>
                <w:lang w:val="en-US" w:eastAsia="zh-CN" w:bidi="ar-SA"/>
              </w:rPr>
              <w:t xml:space="preserve">5 </w:t>
            </w:r>
            <w:r>
              <w:rPr>
                <w:rFonts w:hint="eastAsia" w:ascii="Times New Roman" w:hAnsi="Times New Roman" w:eastAsia="宋体" w:cs="Times New Roman"/>
                <w:color w:val="auto"/>
                <w:kern w:val="2"/>
                <w:sz w:val="21"/>
                <w:szCs w:val="22"/>
                <w:lang w:val="en-US" w:eastAsia="zh-CN" w:bidi="ar-SA"/>
              </w:rPr>
              <w:t>措施费：投标人在其投标报价中应充分考虑各项措施费用包括但不限于：临时用水、用电、垂直运输、脚手架和仓储用地、用房、人员食宿、建筑垃圾清运、排污费、成品保护等所引起的增加费用纳入投标报价中。本工程在施工期间，中标人若须与其它施工单位配合施工，中标人须无条件地服从招标人统一安排。由于交叉作业发生的配合费、干扰费、措施费、人机停(窝)工等费用(不限于此)统一视作措施费，</w:t>
            </w:r>
            <w:r>
              <w:rPr>
                <w:rFonts w:hint="eastAsia" w:cs="Times New Roman"/>
                <w:color w:val="auto"/>
                <w:kern w:val="2"/>
                <w:sz w:val="21"/>
                <w:szCs w:val="22"/>
                <w:lang w:val="en-US" w:eastAsia="zh-CN" w:bidi="ar-SA"/>
              </w:rPr>
              <w:t>均</w:t>
            </w:r>
            <w:r>
              <w:rPr>
                <w:rFonts w:hint="eastAsia" w:ascii="Times New Roman" w:hAnsi="Times New Roman" w:eastAsia="宋体" w:cs="Times New Roman"/>
                <w:color w:val="auto"/>
                <w:kern w:val="2"/>
                <w:sz w:val="21"/>
                <w:szCs w:val="22"/>
                <w:lang w:val="en-US" w:eastAsia="zh-CN" w:bidi="ar-SA"/>
              </w:rPr>
              <w:t>纳入</w:t>
            </w:r>
            <w:r>
              <w:rPr>
                <w:rFonts w:hint="eastAsia" w:cs="Times New Roman"/>
                <w:color w:val="auto"/>
                <w:kern w:val="2"/>
                <w:sz w:val="21"/>
                <w:szCs w:val="22"/>
                <w:lang w:val="en-US" w:eastAsia="zh-CN" w:bidi="ar-SA"/>
              </w:rPr>
              <w:t>全费用综合单价中</w:t>
            </w:r>
            <w:r>
              <w:rPr>
                <w:rFonts w:hint="eastAsia" w:ascii="Times New Roman" w:hAnsi="Times New Roman" w:eastAsia="宋体" w:cs="Times New Roman"/>
                <w:color w:val="auto"/>
                <w:kern w:val="2"/>
                <w:sz w:val="21"/>
                <w:szCs w:val="22"/>
                <w:lang w:val="en-US" w:eastAsia="zh-CN" w:bidi="ar-SA"/>
              </w:rPr>
              <w:t>，</w:t>
            </w:r>
            <w:r>
              <w:rPr>
                <w:rFonts w:hint="eastAsia" w:cs="Times New Roman"/>
                <w:color w:val="auto"/>
                <w:kern w:val="2"/>
                <w:sz w:val="21"/>
                <w:szCs w:val="22"/>
                <w:lang w:val="en-US" w:eastAsia="zh-CN" w:bidi="ar-SA"/>
              </w:rPr>
              <w:t>中标后不做调整，</w:t>
            </w:r>
            <w:r>
              <w:rPr>
                <w:rFonts w:hint="eastAsia" w:ascii="Times New Roman" w:hAnsi="Times New Roman" w:eastAsia="宋体" w:cs="Times New Roman"/>
                <w:color w:val="auto"/>
                <w:kern w:val="2"/>
                <w:sz w:val="21"/>
                <w:szCs w:val="22"/>
                <w:lang w:val="en-US" w:eastAsia="zh-CN" w:bidi="ar-SA"/>
              </w:rPr>
              <w:t>结算时不再单独结算。</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2.6其他说明：</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（1）中标人自行负责施工用水、用电，</w:t>
            </w:r>
            <w:r>
              <w:rPr>
                <w:rFonts w:hint="eastAsia" w:cs="Times New Roman"/>
                <w:color w:val="auto"/>
                <w:kern w:val="2"/>
                <w:sz w:val="21"/>
                <w:szCs w:val="22"/>
                <w:lang w:val="en-US" w:eastAsia="zh-CN" w:bidi="ar-SA"/>
              </w:rPr>
              <w:t>由招</w:t>
            </w:r>
            <w:r>
              <w:rPr>
                <w:rFonts w:hint="eastAsia" w:ascii="Times New Roman" w:hAnsi="Times New Roman" w:eastAsia="宋体" w:cs="Times New Roman"/>
                <w:color w:val="auto"/>
                <w:kern w:val="2"/>
                <w:sz w:val="21"/>
                <w:szCs w:val="22"/>
                <w:lang w:val="en-US" w:eastAsia="zh-CN" w:bidi="ar-SA"/>
              </w:rPr>
              <w:t>标人提供水源、电源点，中标人自行负责接至各施工点并对安全负责，由</w:t>
            </w:r>
            <w:r>
              <w:rPr>
                <w:rFonts w:hint="eastAsia" w:cs="Times New Roman"/>
                <w:color w:val="auto"/>
                <w:kern w:val="2"/>
                <w:sz w:val="21"/>
                <w:szCs w:val="22"/>
                <w:lang w:val="en-US" w:eastAsia="zh-CN" w:bidi="ar-SA"/>
              </w:rPr>
              <w:t>施工用水、用电</w:t>
            </w:r>
            <w:r>
              <w:rPr>
                <w:rFonts w:hint="eastAsia" w:ascii="Times New Roman" w:hAnsi="Times New Roman" w:eastAsia="宋体" w:cs="Times New Roman"/>
                <w:color w:val="auto"/>
                <w:kern w:val="2"/>
                <w:sz w:val="21"/>
                <w:szCs w:val="22"/>
                <w:lang w:val="en-US" w:eastAsia="zh-CN" w:bidi="ar-SA"/>
              </w:rPr>
              <w:t>发生的</w:t>
            </w:r>
            <w:r>
              <w:rPr>
                <w:rFonts w:hint="eastAsia" w:cs="Times New Roman"/>
                <w:color w:val="auto"/>
                <w:kern w:val="2"/>
                <w:sz w:val="21"/>
                <w:szCs w:val="22"/>
                <w:lang w:val="en-US" w:eastAsia="zh-CN" w:bidi="ar-SA"/>
              </w:rPr>
              <w:t>一切</w:t>
            </w:r>
            <w:r>
              <w:rPr>
                <w:rFonts w:hint="eastAsia" w:ascii="Times New Roman" w:hAnsi="Times New Roman" w:eastAsia="宋体" w:cs="Times New Roman"/>
                <w:color w:val="auto"/>
                <w:kern w:val="2"/>
                <w:sz w:val="21"/>
                <w:szCs w:val="22"/>
                <w:lang w:val="en-US" w:eastAsia="zh-CN" w:bidi="ar-SA"/>
              </w:rPr>
              <w:t>费用</w:t>
            </w:r>
            <w:r>
              <w:rPr>
                <w:rFonts w:hint="eastAsia" w:cs="Times New Roman"/>
                <w:color w:val="auto"/>
                <w:kern w:val="2"/>
                <w:sz w:val="21"/>
                <w:szCs w:val="22"/>
                <w:lang w:val="en-US" w:eastAsia="zh-CN" w:bidi="ar-SA"/>
              </w:rPr>
              <w:t>均已</w:t>
            </w:r>
            <w:r>
              <w:rPr>
                <w:rFonts w:hint="eastAsia" w:ascii="Times New Roman" w:hAnsi="Times New Roman" w:eastAsia="宋体" w:cs="Times New Roman"/>
                <w:color w:val="auto"/>
                <w:kern w:val="2"/>
                <w:sz w:val="21"/>
                <w:szCs w:val="22"/>
                <w:lang w:val="en-US" w:eastAsia="zh-CN" w:bidi="ar-SA"/>
              </w:rPr>
              <w:t>纳入投标报价中。</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w:t>
            </w:r>
            <w:r>
              <w:rPr>
                <w:rFonts w:hint="eastAsia" w:cs="Times New Roman"/>
                <w:color w:val="auto"/>
                <w:kern w:val="2"/>
                <w:sz w:val="21"/>
                <w:szCs w:val="22"/>
                <w:lang w:val="en-US" w:eastAsia="zh-CN" w:bidi="ar-SA"/>
              </w:rPr>
              <w:t>2</w:t>
            </w:r>
            <w:r>
              <w:rPr>
                <w:rFonts w:hint="eastAsia" w:ascii="Times New Roman" w:hAnsi="Times New Roman" w:eastAsia="宋体" w:cs="Times New Roman"/>
                <w:color w:val="auto"/>
                <w:kern w:val="2"/>
                <w:sz w:val="21"/>
                <w:szCs w:val="22"/>
                <w:lang w:val="en-US" w:eastAsia="zh-CN" w:bidi="ar-SA"/>
              </w:rPr>
              <w:t>）施工时中标人须负责保护施工场地地上及地下各种管线、管网和施工现场周边建筑物，若中标人对各种管线、管网和施工现场周边的建筑物造成损坏或破坏的，由中标人承担一切经济责任和法律责任，招标人不承担任何的经济责任和法律责任。</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w:t>
            </w:r>
            <w:r>
              <w:rPr>
                <w:rFonts w:hint="eastAsia" w:cs="Times New Roman"/>
                <w:color w:val="auto"/>
                <w:kern w:val="2"/>
                <w:sz w:val="21"/>
                <w:szCs w:val="22"/>
                <w:lang w:val="en-US" w:eastAsia="zh-CN" w:bidi="ar-SA"/>
              </w:rPr>
              <w:t>3</w:t>
            </w:r>
            <w:r>
              <w:rPr>
                <w:rFonts w:hint="eastAsia" w:ascii="Times New Roman" w:hAnsi="Times New Roman" w:eastAsia="宋体" w:cs="Times New Roman"/>
                <w:color w:val="auto"/>
                <w:kern w:val="2"/>
                <w:sz w:val="21"/>
                <w:szCs w:val="22"/>
                <w:lang w:val="en-US" w:eastAsia="zh-CN" w:bidi="ar-SA"/>
              </w:rPr>
              <w:t>）中标单位在施工时应采取措施保护过往行人安全（如在施工地段设置标识和警示语），中标单位进场后的材料不得乱堆乱放。</w:t>
            </w:r>
          </w:p>
          <w:p>
            <w:pPr>
              <w:wordWrap w:val="0"/>
              <w:adjustRightInd w:val="0"/>
              <w:snapToGrid w:val="0"/>
              <w:spacing w:line="360" w:lineRule="auto"/>
              <w:ind w:firstLine="420" w:firstLineChars="200"/>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w:t>
            </w:r>
            <w:r>
              <w:rPr>
                <w:rFonts w:hint="eastAsia" w:cs="Times New Roman"/>
                <w:color w:val="auto"/>
                <w:kern w:val="2"/>
                <w:sz w:val="21"/>
                <w:szCs w:val="22"/>
                <w:lang w:val="en-US" w:eastAsia="zh-CN" w:bidi="ar-SA"/>
              </w:rPr>
              <w:t>4</w:t>
            </w:r>
            <w:r>
              <w:rPr>
                <w:rFonts w:hint="eastAsia" w:ascii="Times New Roman" w:hAnsi="Times New Roman" w:eastAsia="宋体" w:cs="Times New Roman"/>
                <w:color w:val="auto"/>
                <w:kern w:val="2"/>
                <w:sz w:val="21"/>
                <w:szCs w:val="22"/>
                <w:lang w:val="en-US" w:eastAsia="zh-CN" w:bidi="ar-SA"/>
              </w:rPr>
              <w:t>）施工中的废料（如：防腐漆、玻纤布、焊条头、泥浆、淤泥、渣子等）不得污染环境，其措施费用由投标人纳入投标报价中，若由此造成的赔偿</w:t>
            </w:r>
            <w:r>
              <w:rPr>
                <w:rFonts w:hint="eastAsia" w:cs="Times New Roman"/>
                <w:color w:val="auto"/>
                <w:kern w:val="2"/>
                <w:sz w:val="21"/>
                <w:szCs w:val="22"/>
                <w:lang w:val="en-US" w:eastAsia="zh-CN" w:bidi="ar-SA"/>
              </w:rPr>
              <w:t>及处罚</w:t>
            </w:r>
            <w:r>
              <w:rPr>
                <w:rFonts w:hint="eastAsia" w:ascii="Times New Roman" w:hAnsi="Times New Roman" w:eastAsia="宋体" w:cs="Times New Roman"/>
                <w:color w:val="auto"/>
                <w:kern w:val="2"/>
                <w:sz w:val="21"/>
                <w:szCs w:val="22"/>
                <w:lang w:val="en-US" w:eastAsia="zh-CN" w:bidi="ar-SA"/>
              </w:rPr>
              <w:t>由投标人自行负责。</w:t>
            </w:r>
          </w:p>
          <w:p>
            <w:pPr>
              <w:pStyle w:val="25"/>
              <w:spacing w:line="360" w:lineRule="auto"/>
              <w:ind w:left="0" w:leftChars="0" w:firstLine="420" w:firstLineChars="200"/>
              <w:rPr>
                <w:rFonts w:hint="eastAsia"/>
                <w:color w:val="auto"/>
              </w:rPr>
            </w:pPr>
            <w:r>
              <w:rPr>
                <w:rFonts w:hint="eastAsia"/>
                <w:color w:val="auto"/>
                <w:lang w:val="en-US" w:eastAsia="zh-CN"/>
              </w:rPr>
              <w:t>3</w:t>
            </w:r>
            <w:r>
              <w:rPr>
                <w:rFonts w:hint="eastAsia"/>
                <w:color w:val="auto"/>
              </w:rPr>
              <w:t>、投标人只有严格按招标人提供的《工程量清单》和本招标文件中提供的已标价工程量清单表格格式内所有项目进行报价,才能视为总体报价完整，不得出现增项，否则视为对招标文件不作实质性响应，其投标文件按废标处理。</w:t>
            </w:r>
          </w:p>
          <w:p>
            <w:pPr>
              <w:pStyle w:val="25"/>
              <w:spacing w:line="360" w:lineRule="auto"/>
              <w:ind w:left="0" w:leftChars="0" w:firstLine="420" w:firstLineChars="200"/>
              <w:rPr>
                <w:rFonts w:hint="eastAsia"/>
                <w:color w:val="auto"/>
                <w:u w:val="none"/>
              </w:rPr>
            </w:pPr>
            <w:r>
              <w:rPr>
                <w:rFonts w:hint="eastAsia"/>
                <w:color w:val="auto"/>
              </w:rPr>
              <w:t>报价空白或报价为零，则视为该子项的价款已包括在工程量清单其他子目的单价和合价中，中标后必须完成该子项工作内容，招标人不对该子项进行结算与支付；</w:t>
            </w:r>
            <w:r>
              <w:rPr>
                <w:rFonts w:hint="eastAsia"/>
                <w:color w:val="auto"/>
                <w:u w:val="none"/>
              </w:rPr>
              <w:t>施工过程中，因招标人原因需要对报价空白或报价为零的项目减少实施工程量或不予实施，招标人将</w:t>
            </w:r>
            <w:r>
              <w:rPr>
                <w:rFonts w:hint="eastAsia"/>
                <w:color w:val="auto"/>
                <w:u w:val="none"/>
                <w:lang w:val="en-US" w:eastAsia="zh-CN"/>
              </w:rPr>
              <w:t>按照</w:t>
            </w:r>
            <w:r>
              <w:rPr>
                <w:rFonts w:hint="eastAsia"/>
                <w:color w:val="auto"/>
                <w:u w:val="none"/>
                <w:lang w:eastAsia="zh-CN"/>
              </w:rPr>
              <w:t>“</w:t>
            </w:r>
            <w:r>
              <w:rPr>
                <w:rFonts w:hint="eastAsia"/>
                <w:color w:val="auto"/>
                <w:u w:val="none"/>
                <w:lang w:val="en-US" w:eastAsia="zh-CN"/>
              </w:rPr>
              <w:t>工程量清单</w:t>
            </w:r>
            <w:r>
              <w:rPr>
                <w:rFonts w:hint="eastAsia"/>
                <w:color w:val="auto"/>
                <w:u w:val="none"/>
                <w:lang w:eastAsia="zh-CN"/>
              </w:rPr>
              <w:t>”</w:t>
            </w:r>
            <w:r>
              <w:rPr>
                <w:rFonts w:hint="eastAsia"/>
                <w:color w:val="auto"/>
                <w:u w:val="none"/>
                <w:lang w:val="en-US" w:eastAsia="zh-CN"/>
              </w:rPr>
              <w:t>中该子目</w:t>
            </w:r>
            <w:r>
              <w:rPr>
                <w:rFonts w:hint="eastAsia"/>
                <w:color w:val="auto"/>
                <w:u w:val="none"/>
              </w:rPr>
              <w:t>全费用综合单价</w:t>
            </w:r>
            <w:r>
              <w:rPr>
                <w:rFonts w:hint="eastAsia"/>
                <w:color w:val="auto"/>
                <w:u w:val="none"/>
                <w:lang w:val="en-US" w:eastAsia="zh-CN"/>
              </w:rPr>
              <w:t>最高限价和减少工程（或清单工程量）</w:t>
            </w:r>
            <w:r>
              <w:rPr>
                <w:rFonts w:hint="eastAsia"/>
                <w:color w:val="auto"/>
                <w:u w:val="none"/>
              </w:rPr>
              <w:t>，从结算价中</w:t>
            </w:r>
            <w:r>
              <w:rPr>
                <w:rFonts w:hint="eastAsia"/>
                <w:color w:val="auto"/>
                <w:u w:val="none"/>
                <w:lang w:val="en-US" w:eastAsia="zh-CN"/>
              </w:rPr>
              <w:t>予以</w:t>
            </w:r>
            <w:r>
              <w:rPr>
                <w:rFonts w:hint="eastAsia"/>
                <w:color w:val="auto"/>
                <w:u w:val="none"/>
              </w:rPr>
              <w:t>扣除。</w:t>
            </w:r>
          </w:p>
          <w:p>
            <w:pPr>
              <w:pStyle w:val="25"/>
              <w:spacing w:line="360" w:lineRule="auto"/>
              <w:ind w:left="0" w:leftChars="0" w:firstLine="420" w:firstLineChars="200"/>
              <w:rPr>
                <w:rFonts w:hint="eastAsia"/>
                <w:color w:val="auto"/>
              </w:rPr>
            </w:pPr>
            <w:r>
              <w:rPr>
                <w:rFonts w:hint="eastAsia"/>
                <w:color w:val="auto"/>
              </w:rPr>
              <w:t>每一个清单子目只允许有一个报价，任何有选择的报价将不予接受。若同单位工程的不同节点具有相同的清单子目（清单项目名称及规格相同），则其报价必须一致，否则按废标处理。</w:t>
            </w:r>
          </w:p>
          <w:p>
            <w:pPr>
              <w:pStyle w:val="25"/>
              <w:spacing w:line="360" w:lineRule="auto"/>
              <w:ind w:left="0" w:leftChars="0" w:firstLine="420" w:firstLineChars="200"/>
              <w:rPr>
                <w:rFonts w:hint="eastAsia"/>
                <w:color w:val="auto"/>
              </w:rPr>
            </w:pPr>
            <w:r>
              <w:rPr>
                <w:rFonts w:hint="eastAsia"/>
                <w:color w:val="auto"/>
              </w:rPr>
              <w:t>投标人填报的工程量清单项目名称及规格应与招标人发布的相同，不得随意更改，否则按废标处理。</w:t>
            </w:r>
          </w:p>
          <w:p>
            <w:pPr>
              <w:spacing w:line="360" w:lineRule="auto"/>
              <w:ind w:firstLine="420" w:firstLineChars="200"/>
              <w:rPr>
                <w:rFonts w:hint="eastAsia"/>
                <w:color w:val="auto"/>
                <w:u w:val="none"/>
              </w:rPr>
            </w:pPr>
            <w:r>
              <w:rPr>
                <w:rFonts w:hint="eastAsia"/>
                <w:color w:val="auto"/>
                <w:lang w:val="en-US" w:eastAsia="zh-CN"/>
              </w:rPr>
              <w:t>4</w:t>
            </w:r>
            <w:r>
              <w:rPr>
                <w:rFonts w:hint="eastAsia"/>
                <w:color w:val="auto"/>
              </w:rPr>
              <w:t>、如果招标人提</w:t>
            </w:r>
            <w:r>
              <w:rPr>
                <w:rFonts w:hint="eastAsia"/>
                <w:color w:val="auto"/>
                <w:u w:val="none"/>
              </w:rPr>
              <w:t>供的分部分项工程量清单中的工程量与招标图</w:t>
            </w:r>
            <w:r>
              <w:rPr>
                <w:rFonts w:hint="eastAsia"/>
                <w:color w:val="auto"/>
                <w:u w:val="none"/>
                <w:lang w:val="en-US" w:eastAsia="zh-CN"/>
              </w:rPr>
              <w:t>纸</w:t>
            </w:r>
            <w:r>
              <w:rPr>
                <w:rFonts w:hint="eastAsia"/>
                <w:color w:val="auto"/>
                <w:u w:val="none"/>
              </w:rPr>
              <w:t>中工程量不一致，投标人应</w:t>
            </w:r>
            <w:r>
              <w:rPr>
                <w:rFonts w:hint="eastAsia"/>
                <w:color w:val="auto"/>
                <w:u w:val="none"/>
                <w:lang w:val="en-US" w:eastAsia="zh-CN"/>
              </w:rPr>
              <w:t>在</w:t>
            </w:r>
            <w:r>
              <w:rPr>
                <w:rFonts w:hint="eastAsia"/>
                <w:color w:val="auto"/>
                <w:u w:val="none"/>
              </w:rPr>
              <w:t>投标须知前附表第 2.2.1 项中规定的时间前书面通知招标人核查，除招标人对分部分项工程量清单主动补遗或对投标人质疑</w:t>
            </w:r>
            <w:r>
              <w:rPr>
                <w:rFonts w:hint="eastAsia"/>
                <w:color w:val="auto"/>
                <w:u w:val="none"/>
                <w:lang w:val="en-US" w:eastAsia="zh-CN"/>
              </w:rPr>
              <w:t>部分</w:t>
            </w:r>
            <w:r>
              <w:rPr>
                <w:rFonts w:hint="eastAsia"/>
                <w:color w:val="auto"/>
                <w:u w:val="none"/>
              </w:rPr>
              <w:t>作修改外，应以分部分项工程量清单中列出的工程量为准。</w:t>
            </w:r>
          </w:p>
          <w:p>
            <w:pPr>
              <w:pStyle w:val="25"/>
              <w:spacing w:line="360" w:lineRule="auto"/>
              <w:ind w:left="0" w:leftChars="0" w:firstLine="420" w:firstLineChars="200"/>
              <w:rPr>
                <w:rFonts w:hint="default"/>
                <w:color w:val="auto"/>
                <w:lang w:val="en-US" w:eastAsia="zh-CN"/>
              </w:rPr>
            </w:pPr>
            <w:r>
              <w:rPr>
                <w:rFonts w:hint="eastAsia"/>
                <w:color w:val="auto"/>
                <w:u w:val="none"/>
                <w:lang w:val="en-US" w:eastAsia="zh-CN"/>
              </w:rPr>
              <w:t>5</w:t>
            </w:r>
            <w:r>
              <w:rPr>
                <w:rFonts w:hint="eastAsia"/>
                <w:color w:val="auto"/>
                <w:u w:val="none"/>
              </w:rPr>
              <w:t>、招标人在工程量清单中所列出的价格（</w:t>
            </w:r>
            <w:r>
              <w:rPr>
                <w:rFonts w:hint="eastAsia"/>
                <w:color w:val="auto"/>
              </w:rPr>
              <w:t>包括暂列金额、暂估价等），投标人不得修改，否则由评标委员会作否决投标处理。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3.3.1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投标有效期</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u w:val="single"/>
                <w:lang w:val="en-US" w:eastAsia="zh-CN"/>
              </w:rPr>
              <w:t>90</w:t>
            </w:r>
            <w:r>
              <w:rPr>
                <w:rFonts w:ascii="宋体" w:hAnsi="宋体"/>
                <w:color w:val="auto"/>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3.4</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投标保证金</w:t>
            </w:r>
          </w:p>
        </w:tc>
        <w:tc>
          <w:tcPr>
            <w:tcW w:w="6785" w:type="dxa"/>
            <w:vAlign w:val="center"/>
          </w:tcPr>
          <w:p>
            <w:pPr>
              <w:snapToGrid w:val="0"/>
              <w:spacing w:line="360" w:lineRule="auto"/>
              <w:ind w:firstLine="420" w:firstLineChars="200"/>
            </w:pPr>
            <w:r>
              <w:rPr>
                <w:rFonts w:hint="eastAsia"/>
              </w:rPr>
              <w:t>投标保证金的交纳方式：</w:t>
            </w:r>
          </w:p>
          <w:p>
            <w:pPr>
              <w:snapToGrid w:val="0"/>
              <w:spacing w:line="360" w:lineRule="auto"/>
              <w:ind w:firstLine="420" w:firstLineChars="200"/>
            </w:pPr>
            <w:r>
              <w:rPr>
                <w:rFonts w:hint="eastAsia"/>
              </w:rPr>
              <w:t>一、以转账支票或电汇形式交纳投标保证金</w:t>
            </w:r>
          </w:p>
          <w:p>
            <w:pPr>
              <w:snapToGrid w:val="0"/>
              <w:spacing w:line="360" w:lineRule="auto"/>
              <w:ind w:firstLine="420" w:firstLineChars="200"/>
            </w:pPr>
            <w:r>
              <w:rPr>
                <w:rFonts w:hint="eastAsia"/>
              </w:rPr>
              <w:t>1.投标保证金交款形式及要求：投标人从企业的基本账户（开户行）在投标截止时间前通过转账支票直接划付或以电汇方式直接划付至</w:t>
            </w:r>
            <w:r>
              <w:rPr>
                <w:rFonts w:hint="eastAsia"/>
                <w:lang w:val="en-US" w:eastAsia="zh-CN"/>
              </w:rPr>
              <w:t>招标人</w:t>
            </w:r>
            <w:r>
              <w:rPr>
                <w:rFonts w:hint="eastAsia"/>
              </w:rPr>
              <w:t>指定的投标保证金账户</w:t>
            </w:r>
            <w:r>
              <w:rPr>
                <w:rFonts w:hint="eastAsia"/>
                <w:color w:val="auto"/>
                <w:u w:val="none"/>
                <w:lang w:eastAsia="zh-CN"/>
              </w:rPr>
              <w:t>（</w:t>
            </w:r>
            <w:r>
              <w:rPr>
                <w:rFonts w:hint="eastAsia"/>
                <w:color w:val="auto"/>
                <w:u w:val="none"/>
                <w:lang w:val="en-US" w:eastAsia="zh-CN"/>
              </w:rPr>
              <w:t>以实际到账时间为准</w:t>
            </w:r>
            <w:r>
              <w:rPr>
                <w:rFonts w:hint="eastAsia"/>
                <w:color w:val="auto"/>
                <w:u w:val="none"/>
                <w:lang w:eastAsia="zh-CN"/>
              </w:rPr>
              <w:t>）</w:t>
            </w:r>
            <w:r>
              <w:rPr>
                <w:rFonts w:hint="eastAsia"/>
              </w:rPr>
              <w:t>。若投标截止时间延期，则投标保证金提交的截止时间和投标截止时间应当保持一致。不满足上述要求的投标保证金</w:t>
            </w:r>
            <w:r>
              <w:t>无效。</w:t>
            </w:r>
          </w:p>
          <w:p>
            <w:pPr>
              <w:snapToGrid w:val="0"/>
              <w:spacing w:line="360" w:lineRule="auto"/>
              <w:ind w:firstLine="420" w:firstLineChars="200"/>
            </w:pPr>
            <w:r>
              <w:rPr>
                <w:rFonts w:hint="eastAsia"/>
              </w:rPr>
              <w:t>投标人自行考虑汇入时间风险，如同城汇入、异地汇入、跨行汇入的时间要求。</w:t>
            </w:r>
          </w:p>
          <w:p>
            <w:pPr>
              <w:snapToGrid w:val="0"/>
              <w:spacing w:line="360" w:lineRule="auto"/>
              <w:ind w:firstLine="420" w:firstLineChars="200"/>
            </w:pPr>
            <w:r>
              <w:rPr>
                <w:rFonts w:hint="eastAsia"/>
              </w:rPr>
              <w:t>2.以转账支票或电汇形式提交投标保证金的金额：</w:t>
            </w:r>
            <w:r>
              <w:rPr>
                <w:rFonts w:hint="eastAsia"/>
                <w:color w:val="auto"/>
                <w:u w:val="single"/>
                <w:lang w:val="en-US" w:eastAsia="zh-CN"/>
              </w:rPr>
              <w:t>7.0</w:t>
            </w:r>
            <w:r>
              <w:rPr>
                <w:rFonts w:hint="eastAsia"/>
                <w:color w:val="auto"/>
                <w:u w:val="single"/>
              </w:rPr>
              <w:t>0</w:t>
            </w:r>
            <w:r>
              <w:rPr>
                <w:rFonts w:hint="eastAsia"/>
                <w:color w:val="auto"/>
                <w:u w:val="none"/>
              </w:rPr>
              <w:t>万元整（人民币）。</w:t>
            </w:r>
          </w:p>
          <w:p>
            <w:pPr>
              <w:snapToGrid w:val="0"/>
              <w:spacing w:line="360" w:lineRule="auto"/>
              <w:ind w:firstLine="420" w:firstLineChars="200"/>
              <w:rPr>
                <w:rFonts w:hint="eastAsia"/>
              </w:rPr>
            </w:pPr>
            <w:r>
              <w:rPr>
                <w:rFonts w:hint="eastAsia"/>
              </w:rPr>
              <w:t>3.投标保证金账户及账号：</w:t>
            </w:r>
          </w:p>
          <w:p>
            <w:pPr>
              <w:pStyle w:val="2"/>
              <w:spacing w:line="360" w:lineRule="auto"/>
              <w:ind w:firstLine="420"/>
              <w:rPr>
                <w:rFonts w:hint="eastAsia"/>
                <w:lang w:val="en-US" w:eastAsia="zh-CN"/>
              </w:rPr>
            </w:pPr>
            <w:r>
              <w:rPr>
                <w:rFonts w:hint="eastAsia"/>
                <w:lang w:val="en-US" w:eastAsia="zh-CN"/>
              </w:rPr>
              <w:t>户名：重庆市建筑科学研究院有限公司</w:t>
            </w:r>
          </w:p>
          <w:p>
            <w:pPr>
              <w:spacing w:line="360" w:lineRule="auto"/>
              <w:ind w:firstLine="420"/>
              <w:rPr>
                <w:rFonts w:hint="eastAsia"/>
                <w:lang w:val="en-US" w:eastAsia="zh-CN"/>
              </w:rPr>
            </w:pPr>
            <w:r>
              <w:rPr>
                <w:rFonts w:hint="eastAsia"/>
                <w:lang w:val="en-US" w:eastAsia="zh-CN"/>
              </w:rPr>
              <w:t>开户行：华夏银行重庆大坪支行</w:t>
            </w:r>
          </w:p>
          <w:p>
            <w:pPr>
              <w:pStyle w:val="2"/>
              <w:spacing w:line="360" w:lineRule="auto"/>
              <w:rPr>
                <w:rFonts w:hint="default"/>
                <w:lang w:val="en-US" w:eastAsia="zh-CN"/>
              </w:rPr>
            </w:pPr>
            <w:r>
              <w:rPr>
                <w:rFonts w:hint="eastAsia"/>
                <w:lang w:val="en-US" w:eastAsia="zh-CN"/>
              </w:rPr>
              <w:t xml:space="preserve">    投标保证金账号：11251000000433569</w:t>
            </w:r>
          </w:p>
          <w:p>
            <w:pPr>
              <w:snapToGrid w:val="0"/>
              <w:spacing w:line="360" w:lineRule="auto"/>
              <w:ind w:firstLine="420" w:firstLineChars="200"/>
            </w:pPr>
            <w:r>
              <w:rPr>
                <w:rFonts w:hint="eastAsia"/>
              </w:rPr>
              <w:t>投标保证金以</w:t>
            </w:r>
            <w:r>
              <w:rPr>
                <w:rFonts w:hint="eastAsia"/>
                <w:lang w:eastAsia="zh-CN"/>
              </w:rPr>
              <w:t>重庆市建筑科学研究院有限公司</w:t>
            </w:r>
            <w:r>
              <w:rPr>
                <w:rFonts w:hint="eastAsia"/>
              </w:rPr>
              <w:t>开标现场展示的保证金交纳情况为准。投标人须在投标文件资格审查部分“（</w:t>
            </w:r>
            <w:r>
              <w:rPr>
                <w:rFonts w:hint="eastAsia"/>
                <w:lang w:val="en-US" w:eastAsia="zh-CN"/>
              </w:rPr>
              <w:t>五</w:t>
            </w:r>
            <w:r>
              <w:rPr>
                <w:rFonts w:hint="eastAsia"/>
              </w:rPr>
              <w:t>）其他资料”中提供企业基本账户开户证明文件复印件。</w:t>
            </w:r>
          </w:p>
          <w:p>
            <w:pPr>
              <w:snapToGrid w:val="0"/>
              <w:spacing w:line="360" w:lineRule="auto"/>
              <w:ind w:firstLine="420" w:firstLineChars="200"/>
            </w:pPr>
            <w:r>
              <w:rPr>
                <w:rFonts w:hint="eastAsia"/>
              </w:rPr>
              <w:t>4.投标人必须在付款凭证备注栏中注明是“</w:t>
            </w:r>
            <w:r>
              <w:rPr>
                <w:rFonts w:hint="eastAsia"/>
                <w:lang w:val="en-US" w:eastAsia="zh-CN"/>
              </w:rPr>
              <w:t>重庆市建筑科学研究院有限公司“江南分中心实验室搬迁项目（实验区）劳务分包（装饰工程及水电智能化工程）</w:t>
            </w:r>
            <w:r>
              <w:rPr>
                <w:rFonts w:hint="eastAsia"/>
              </w:rPr>
              <w:t>投标保证金”。</w:t>
            </w:r>
          </w:p>
          <w:p>
            <w:pPr>
              <w:snapToGrid w:val="0"/>
              <w:spacing w:line="360" w:lineRule="auto"/>
              <w:ind w:firstLine="420" w:firstLineChars="200"/>
            </w:pPr>
            <w:r>
              <w:rPr>
                <w:rFonts w:hint="eastAsia"/>
              </w:rPr>
              <w:t>5.投标保证金有效期与投标有效期一致。</w:t>
            </w:r>
          </w:p>
          <w:p>
            <w:pPr>
              <w:snapToGrid w:val="0"/>
              <w:spacing w:line="360" w:lineRule="auto"/>
              <w:ind w:firstLine="420" w:firstLineChars="200"/>
            </w:pPr>
            <w:r>
              <w:rPr>
                <w:rFonts w:hint="eastAsia"/>
              </w:rPr>
              <w:t>6.评标过程中由评标委员会根据投标人在投标文件中提供的企业基本账户开户证明文件核实其投标保证金是否由基本账户转入，未从基本账户转入的，由评标委员会作否决投标处理。</w:t>
            </w:r>
          </w:p>
          <w:p>
            <w:pPr>
              <w:snapToGrid w:val="0"/>
              <w:spacing w:line="360" w:lineRule="auto"/>
              <w:ind w:firstLine="420" w:firstLineChars="200"/>
            </w:pPr>
            <w:r>
              <w:rPr>
                <w:rFonts w:hint="eastAsia"/>
              </w:rPr>
              <w:t>二、投标保证金的退还</w:t>
            </w:r>
          </w:p>
          <w:p>
            <w:pPr>
              <w:snapToGrid w:val="0"/>
              <w:spacing w:line="360" w:lineRule="auto"/>
              <w:ind w:firstLine="420" w:firstLineChars="200"/>
            </w:pPr>
            <w:r>
              <w:rPr>
                <w:rFonts w:hint="eastAsia"/>
              </w:rPr>
              <w:t>招标人应当在法定时间内确定中标人</w:t>
            </w:r>
            <w:r>
              <w:rPr>
                <w:rFonts w:hint="eastAsia"/>
                <w:lang w:val="en-US" w:eastAsia="zh-CN"/>
              </w:rPr>
              <w:t>并签订合同</w:t>
            </w:r>
            <w:r>
              <w:rPr>
                <w:rFonts w:hint="eastAsia"/>
              </w:rPr>
              <w:t>。</w:t>
            </w:r>
            <w:r>
              <w:rPr>
                <w:rFonts w:hint="eastAsia"/>
                <w:lang w:val="en-US" w:eastAsia="zh-CN"/>
              </w:rPr>
              <w:t>招</w:t>
            </w:r>
            <w:r>
              <w:rPr>
                <w:rFonts w:hint="eastAsia"/>
              </w:rPr>
              <w:t>标人应当在合同生效后</w:t>
            </w:r>
            <w:r>
              <w:rPr>
                <w:rFonts w:hint="eastAsia"/>
                <w:lang w:val="en-US" w:eastAsia="zh-CN"/>
              </w:rPr>
              <w:t>7</w:t>
            </w:r>
            <w:r>
              <w:rPr>
                <w:rFonts w:hint="eastAsia"/>
              </w:rPr>
              <w:t>个工作日内，向除中标人以外的投标人，</w:t>
            </w:r>
            <w:r>
              <w:rPr>
                <w:rFonts w:hint="eastAsia"/>
                <w:lang w:val="en-US" w:eastAsia="zh-CN"/>
              </w:rPr>
              <w:t>予以一次性无息</w:t>
            </w:r>
            <w:r>
              <w:rPr>
                <w:rFonts w:hint="eastAsia"/>
              </w:rPr>
              <w:t>退还投标保证金。</w:t>
            </w:r>
          </w:p>
          <w:p>
            <w:pPr>
              <w:pStyle w:val="2"/>
              <w:spacing w:line="360" w:lineRule="auto"/>
              <w:rPr>
                <w:rFonts w:hint="default" w:eastAsia="宋体"/>
                <w:lang w:val="en-US" w:eastAsia="zh-CN"/>
              </w:rPr>
            </w:pPr>
            <w:r>
              <w:rPr>
                <w:rFonts w:hint="eastAsia"/>
                <w:lang w:val="en-US" w:eastAsia="zh-CN"/>
              </w:rPr>
              <w:t xml:space="preserve">  </w:t>
            </w:r>
            <w:r>
              <w:rPr>
                <w:rFonts w:hint="eastAsia"/>
                <w:color w:val="auto"/>
                <w:u w:val="none"/>
                <w:lang w:val="en-US" w:eastAsia="zh-CN"/>
              </w:rPr>
              <w:t xml:space="preserve">  中标人应在合同签订后7个工作日内向招标人出具将“投标保证金直接转为履约保证金”的函件，并按照投标人须知前附表第7.4.1项内容要求补足履约保证金。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3.6</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是否允许递交</w:t>
            </w:r>
          </w:p>
          <w:p>
            <w:pPr>
              <w:snapToGrid w:val="0"/>
              <w:spacing w:line="420" w:lineRule="exact"/>
              <w:jc w:val="center"/>
              <w:rPr>
                <w:rFonts w:ascii="宋体" w:hAnsi="宋体"/>
                <w:color w:val="auto"/>
                <w:kern w:val="0"/>
                <w:szCs w:val="21"/>
              </w:rPr>
            </w:pPr>
            <w:r>
              <w:rPr>
                <w:rFonts w:ascii="宋体" w:hAnsi="宋体"/>
                <w:color w:val="auto"/>
                <w:kern w:val="0"/>
                <w:szCs w:val="21"/>
              </w:rPr>
              <w:t>备选投标方案</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.7.1</w:t>
            </w:r>
          </w:p>
        </w:tc>
        <w:tc>
          <w:tcPr>
            <w:tcW w:w="1560"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785" w:type="dxa"/>
            <w:vAlign w:val="center"/>
          </w:tcPr>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w:t>
            </w:r>
            <w:r>
              <w:rPr>
                <w:rFonts w:hint="eastAsia" w:ascii="宋体" w:hAnsi="宋体"/>
                <w:color w:val="auto"/>
                <w:kern w:val="0"/>
                <w:szCs w:val="21"/>
                <w:lang w:val="en-US" w:eastAsia="zh-CN"/>
              </w:rPr>
              <w:t>七</w:t>
            </w:r>
            <w:r>
              <w:rPr>
                <w:rFonts w:hint="eastAsia" w:ascii="宋体" w:hAnsi="宋体"/>
                <w:color w:val="auto"/>
                <w:kern w:val="0"/>
                <w:szCs w:val="21"/>
              </w:rPr>
              <w:t>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3.7.3</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签名盖章要求</w:t>
            </w:r>
          </w:p>
        </w:tc>
        <w:tc>
          <w:tcPr>
            <w:tcW w:w="6785" w:type="dxa"/>
            <w:vAlign w:val="center"/>
          </w:tcPr>
          <w:p>
            <w:pPr>
              <w:snapToGrid w:val="0"/>
              <w:spacing w:line="42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投标文件应用不褪色的材料书写或打印，并由投标人的法定代表人或其委托代理人在招标文件规定的位置按招标文件要求签名或盖章、盖单位</w:t>
            </w:r>
            <w:r>
              <w:rPr>
                <w:rFonts w:hint="eastAsia" w:ascii="宋体" w:hAnsi="宋体"/>
                <w:color w:val="auto"/>
                <w:szCs w:val="21"/>
                <w:lang w:val="en-US" w:eastAsia="zh-CN"/>
              </w:rPr>
              <w:t>公</w:t>
            </w:r>
            <w:r>
              <w:rPr>
                <w:rFonts w:hint="eastAsia" w:ascii="宋体" w:hAnsi="宋体"/>
                <w:color w:val="auto"/>
                <w:szCs w:val="21"/>
              </w:rPr>
              <w:t>章。委托代理人签名的，投标文件应附法定代表人签署的授权委托书。投标文件应尽量避免涂改、行间插字或删除。如果出现上述情况，改动之处应加盖单位</w:t>
            </w:r>
            <w:r>
              <w:rPr>
                <w:rFonts w:hint="eastAsia" w:ascii="宋体" w:hAnsi="宋体"/>
                <w:color w:val="auto"/>
                <w:szCs w:val="21"/>
                <w:lang w:val="en-US" w:eastAsia="zh-CN"/>
              </w:rPr>
              <w:t>公章</w:t>
            </w:r>
            <w:r>
              <w:rPr>
                <w:rFonts w:hint="eastAsia" w:ascii="宋体" w:hAnsi="宋体"/>
                <w:color w:val="auto"/>
                <w:szCs w:val="21"/>
              </w:rPr>
              <w:t>或由投标人的法定代表人或其授权的代理人签名确认。</w:t>
            </w:r>
          </w:p>
          <w:p>
            <w:pPr>
              <w:snapToGrid w:val="0"/>
              <w:spacing w:line="420" w:lineRule="exact"/>
              <w:ind w:firstLine="420" w:firstLineChars="200"/>
              <w:rPr>
                <w:rFonts w:ascii="宋体" w:hAnsi="宋体"/>
                <w:color w:val="auto"/>
                <w:szCs w:val="21"/>
              </w:rPr>
            </w:pPr>
            <w:r>
              <w:rPr>
                <w:rFonts w:hint="eastAsia" w:ascii="宋体" w:hAnsi="宋体"/>
                <w:color w:val="auto"/>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3.7.4</w:t>
            </w:r>
          </w:p>
        </w:tc>
        <w:tc>
          <w:tcPr>
            <w:tcW w:w="1560" w:type="dxa"/>
            <w:vAlign w:val="center"/>
          </w:tcPr>
          <w:p>
            <w:pPr>
              <w:snapToGrid w:val="0"/>
              <w:spacing w:line="420" w:lineRule="exact"/>
              <w:jc w:val="center"/>
              <w:rPr>
                <w:rFonts w:ascii="宋体" w:hAnsi="宋体"/>
                <w:color w:val="auto"/>
                <w:spacing w:val="-6"/>
                <w:kern w:val="0"/>
                <w:szCs w:val="21"/>
              </w:rPr>
            </w:pPr>
            <w:r>
              <w:rPr>
                <w:rFonts w:ascii="宋体" w:hAnsi="宋体"/>
                <w:color w:val="auto"/>
                <w:spacing w:val="-6"/>
                <w:kern w:val="0"/>
                <w:szCs w:val="21"/>
              </w:rPr>
              <w:t>投标文件的份数</w:t>
            </w:r>
          </w:p>
        </w:tc>
        <w:tc>
          <w:tcPr>
            <w:tcW w:w="6785" w:type="dxa"/>
            <w:vAlign w:val="center"/>
          </w:tcPr>
          <w:p>
            <w:pPr>
              <w:autoSpaceDE w:val="0"/>
              <w:autoSpaceDN w:val="0"/>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投标函部分一式</w:t>
            </w:r>
            <w:r>
              <w:rPr>
                <w:rFonts w:hint="eastAsia" w:ascii="宋体" w:hAnsi="宋体"/>
                <w:color w:val="auto"/>
                <w:kern w:val="0"/>
                <w:szCs w:val="21"/>
                <w:lang w:val="en-US" w:eastAsia="zh-CN"/>
              </w:rPr>
              <w:t>叁</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貮</w:t>
            </w:r>
            <w:r>
              <w:rPr>
                <w:rFonts w:hint="eastAsia" w:ascii="宋体" w:hAnsi="宋体"/>
                <w:color w:val="auto"/>
                <w:kern w:val="0"/>
                <w:szCs w:val="21"/>
              </w:rPr>
              <w:t>份）；</w:t>
            </w:r>
          </w:p>
          <w:p>
            <w:pPr>
              <w:pStyle w:val="25"/>
              <w:spacing w:line="360" w:lineRule="auto"/>
              <w:rPr>
                <w:rFonts w:hint="default" w:eastAsia="宋体"/>
                <w:color w:val="auto"/>
                <w:lang w:val="en-US" w:eastAsia="zh-CN"/>
              </w:rPr>
            </w:pPr>
            <w:r>
              <w:rPr>
                <w:rFonts w:hint="eastAsia" w:ascii="宋体" w:hAnsi="宋体"/>
                <w:color w:val="auto"/>
                <w:kern w:val="0"/>
                <w:szCs w:val="21"/>
                <w:lang w:val="en-US" w:eastAsia="zh-CN"/>
              </w:rPr>
              <w:t>经济部分</w:t>
            </w:r>
            <w:r>
              <w:rPr>
                <w:rFonts w:hint="eastAsia" w:ascii="宋体" w:hAnsi="宋体"/>
                <w:color w:val="auto"/>
                <w:kern w:val="0"/>
                <w:szCs w:val="21"/>
              </w:rPr>
              <w:t>一式</w:t>
            </w:r>
            <w:r>
              <w:rPr>
                <w:rFonts w:hint="eastAsia" w:ascii="宋体" w:hAnsi="宋体"/>
                <w:color w:val="auto"/>
                <w:kern w:val="0"/>
                <w:szCs w:val="21"/>
                <w:lang w:val="en-US" w:eastAsia="zh-CN"/>
              </w:rPr>
              <w:t>叁</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貮</w:t>
            </w:r>
            <w:r>
              <w:rPr>
                <w:rFonts w:hint="eastAsia" w:ascii="宋体" w:hAnsi="宋体"/>
                <w:color w:val="auto"/>
                <w:kern w:val="0"/>
                <w:szCs w:val="21"/>
              </w:rPr>
              <w:t>份）；</w:t>
            </w:r>
          </w:p>
          <w:p>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szCs w:val="21"/>
              </w:rPr>
              <w:t>资格审查部分</w:t>
            </w:r>
            <w:r>
              <w:rPr>
                <w:rFonts w:hint="eastAsia" w:ascii="宋体" w:hAnsi="宋体"/>
                <w:color w:val="auto"/>
                <w:kern w:val="0"/>
                <w:szCs w:val="21"/>
              </w:rPr>
              <w:t>一式</w:t>
            </w:r>
            <w:r>
              <w:rPr>
                <w:rFonts w:hint="eastAsia" w:ascii="宋体" w:hAnsi="宋体"/>
                <w:color w:val="auto"/>
                <w:kern w:val="0"/>
                <w:szCs w:val="21"/>
                <w:lang w:val="en-US" w:eastAsia="zh-CN"/>
              </w:rPr>
              <w:t>叁</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貮</w:t>
            </w:r>
            <w:r>
              <w:rPr>
                <w:rFonts w:hint="eastAsia" w:ascii="宋体" w:hAnsi="宋体"/>
                <w:color w:val="auto"/>
                <w:kern w:val="0"/>
                <w:szCs w:val="21"/>
              </w:rPr>
              <w:t>份）；</w:t>
            </w:r>
          </w:p>
          <w:p>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当副本和正本不一致时，以正本为准。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4.1.1</w:t>
            </w:r>
          </w:p>
        </w:tc>
        <w:tc>
          <w:tcPr>
            <w:tcW w:w="1560" w:type="dxa"/>
            <w:vAlign w:val="center"/>
          </w:tcPr>
          <w:p>
            <w:pPr>
              <w:snapToGrid w:val="0"/>
              <w:spacing w:line="42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785" w:type="dxa"/>
            <w:vAlign w:val="center"/>
          </w:tcPr>
          <w:p>
            <w:pPr>
              <w:adjustRightInd w:val="0"/>
              <w:snapToGrid w:val="0"/>
              <w:spacing w:line="420" w:lineRule="exact"/>
              <w:ind w:firstLine="420" w:firstLineChars="200"/>
              <w:rPr>
                <w:rFonts w:hint="default" w:ascii="宋体" w:hAnsi="宋体" w:eastAsia="宋体"/>
                <w:color w:val="auto"/>
                <w:szCs w:val="21"/>
                <w:lang w:val="en-US" w:eastAsia="zh-CN"/>
              </w:rPr>
            </w:pPr>
            <w:r>
              <w:rPr>
                <w:rFonts w:hint="eastAsia" w:ascii="宋体" w:hAnsi="宋体" w:eastAsia="宋体" w:cs="Times New Roman"/>
                <w:color w:val="auto"/>
                <w:kern w:val="0"/>
                <w:szCs w:val="21"/>
              </w:rPr>
              <w:t>纸质版投标文件应密封包装，并在封套的封口处加盖投标人单位</w:t>
            </w:r>
            <w:r>
              <w:rPr>
                <w:rFonts w:hint="eastAsia" w:ascii="宋体" w:hAnsi="宋体" w:cs="Times New Roman"/>
                <w:color w:val="auto"/>
                <w:kern w:val="0"/>
                <w:szCs w:val="21"/>
                <w:lang w:val="en-US" w:eastAsia="zh-CN"/>
              </w:rPr>
              <w:t>公</w:t>
            </w:r>
            <w:r>
              <w:rPr>
                <w:rFonts w:hint="eastAsia" w:ascii="宋体" w:hAnsi="宋体" w:eastAsia="宋体" w:cs="Times New Roman"/>
                <w:color w:val="auto"/>
                <w:kern w:val="0"/>
                <w:szCs w:val="21"/>
              </w:rPr>
              <w:t>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4.1.2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封套上写明</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应在</w:t>
            </w:r>
            <w:r>
              <w:rPr>
                <w:rFonts w:ascii="宋体" w:hAnsi="宋体"/>
                <w:color w:val="auto"/>
                <w:szCs w:val="21"/>
              </w:rPr>
              <w:t xml:space="preserve"> </w:t>
            </w:r>
            <w:r>
              <w:rPr>
                <w:rFonts w:ascii="宋体" w:hAnsi="宋体"/>
                <w:color w:val="auto"/>
                <w:kern w:val="0"/>
                <w:szCs w:val="21"/>
              </w:rPr>
              <w:t>“投标文件”</w:t>
            </w:r>
            <w:r>
              <w:rPr>
                <w:rFonts w:hint="eastAsia" w:ascii="宋体" w:hAnsi="宋体"/>
                <w:color w:val="auto"/>
                <w:kern w:val="0"/>
                <w:szCs w:val="21"/>
              </w:rPr>
              <w:t>大</w:t>
            </w:r>
            <w:r>
              <w:rPr>
                <w:rFonts w:ascii="宋体" w:hAnsi="宋体"/>
                <w:color w:val="auto"/>
                <w:kern w:val="0"/>
                <w:szCs w:val="21"/>
              </w:rPr>
              <w:t>袋封套上写明如下内容：</w:t>
            </w:r>
          </w:p>
          <w:p>
            <w:pPr>
              <w:snapToGrid w:val="0"/>
              <w:spacing w:line="420" w:lineRule="exact"/>
              <w:ind w:firstLine="420" w:firstLineChars="200"/>
              <w:rPr>
                <w:rFonts w:ascii="宋体" w:hAnsi="宋体"/>
                <w:color w:val="auto"/>
                <w:kern w:val="0"/>
                <w:szCs w:val="21"/>
                <w:u w:val="single"/>
              </w:rPr>
            </w:pPr>
            <w:r>
              <w:rPr>
                <w:rFonts w:ascii="宋体" w:hAnsi="宋体"/>
                <w:color w:val="auto"/>
                <w:kern w:val="0"/>
                <w:szCs w:val="21"/>
              </w:rPr>
              <w:t>招标人名称：</w:t>
            </w:r>
            <w:r>
              <w:rPr>
                <w:rFonts w:hint="eastAsia" w:ascii="宋体" w:hAnsi="宋体"/>
                <w:snapToGrid w:val="0"/>
                <w:color w:val="auto"/>
                <w:kern w:val="0"/>
                <w:szCs w:val="21"/>
                <w:u w:val="single"/>
                <w:lang w:val="en-US" w:eastAsia="zh-CN"/>
              </w:rPr>
              <w:t>重庆市建筑科学研究院</w:t>
            </w:r>
            <w:r>
              <w:rPr>
                <w:rFonts w:hint="eastAsia" w:ascii="宋体" w:hAnsi="宋体"/>
                <w:snapToGrid w:val="0"/>
                <w:color w:val="auto"/>
                <w:kern w:val="0"/>
                <w:szCs w:val="21"/>
                <w:u w:val="single"/>
              </w:rPr>
              <w:t>有限公司</w:t>
            </w:r>
          </w:p>
          <w:p>
            <w:pPr>
              <w:snapToGrid w:val="0"/>
              <w:spacing w:line="420" w:lineRule="exact"/>
              <w:ind w:firstLine="420" w:firstLineChars="200"/>
              <w:rPr>
                <w:rFonts w:ascii="宋体" w:hAnsi="宋体"/>
                <w:color w:val="auto"/>
                <w:kern w:val="0"/>
                <w:szCs w:val="21"/>
                <w:u w:val="single"/>
              </w:rPr>
            </w:pPr>
            <w:r>
              <w:rPr>
                <w:rFonts w:hint="eastAsia" w:ascii="宋体" w:hAnsi="宋体"/>
                <w:color w:val="auto"/>
                <w:kern w:val="0"/>
                <w:szCs w:val="21"/>
              </w:rPr>
              <w:t>投标人名称：</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p>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u w:val="single"/>
                <w:lang w:val="en-US" w:eastAsia="zh-CN"/>
              </w:rPr>
              <w:t>重庆市建筑科学研究院有限公司“江南分中心实验室搬迁项目（实验区）劳务分包（装饰工程及水电智能化工程）</w:t>
            </w:r>
            <w:r>
              <w:rPr>
                <w:rFonts w:ascii="宋体" w:hAnsi="宋体"/>
                <w:color w:val="auto"/>
                <w:kern w:val="0"/>
                <w:szCs w:val="21"/>
              </w:rPr>
              <w:t>投标文件</w:t>
            </w:r>
          </w:p>
          <w:p>
            <w:pPr>
              <w:snapToGrid w:val="0"/>
              <w:spacing w:line="42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2022</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8</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9</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10</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00</w:t>
            </w:r>
            <w:r>
              <w:rPr>
                <w:rFonts w:hint="eastAsia" w:ascii="宋体" w:hAnsi="宋体"/>
                <w:color w:val="auto"/>
                <w:kern w:val="0"/>
                <w:szCs w:val="21"/>
                <w:u w:val="single"/>
              </w:rPr>
              <w:t xml:space="preserve">  </w:t>
            </w:r>
            <w:r>
              <w:rPr>
                <w:rFonts w:ascii="宋体" w:hAnsi="宋体"/>
                <w:color w:val="auto"/>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4.2.2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递交投标文件地点</w:t>
            </w:r>
          </w:p>
        </w:tc>
        <w:tc>
          <w:tcPr>
            <w:tcW w:w="6785" w:type="dxa"/>
            <w:vAlign w:val="center"/>
          </w:tcPr>
          <w:p>
            <w:pPr>
              <w:snapToGrid w:val="0"/>
              <w:spacing w:line="420" w:lineRule="exact"/>
              <w:ind w:firstLine="420" w:firstLineChars="200"/>
              <w:rPr>
                <w:rFonts w:hint="default" w:ascii="宋体" w:hAnsi="宋体" w:eastAsia="宋体"/>
                <w:bCs/>
                <w:color w:val="auto"/>
                <w:szCs w:val="21"/>
                <w:lang w:val="en-US" w:eastAsia="zh-CN"/>
              </w:rPr>
            </w:pPr>
            <w:r>
              <w:rPr>
                <w:rFonts w:hint="eastAsia" w:ascii="宋体" w:hAnsi="宋体"/>
                <w:bCs/>
                <w:color w:val="auto"/>
                <w:szCs w:val="21"/>
                <w:lang w:val="en-US" w:eastAsia="zh-CN"/>
              </w:rPr>
              <w:t>重庆市渝中区长江二路221号建科大厦1607室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4.2.3</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是否退还投标文件</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开标时间和</w:t>
            </w:r>
          </w:p>
          <w:p>
            <w:pPr>
              <w:snapToGrid w:val="0"/>
              <w:spacing w:line="420" w:lineRule="exact"/>
              <w:jc w:val="center"/>
              <w:rPr>
                <w:rFonts w:ascii="宋体" w:hAnsi="宋体"/>
                <w:color w:val="auto"/>
                <w:kern w:val="0"/>
                <w:szCs w:val="21"/>
              </w:rPr>
            </w:pPr>
            <w:r>
              <w:rPr>
                <w:rFonts w:ascii="宋体" w:hAnsi="宋体"/>
                <w:color w:val="auto"/>
                <w:kern w:val="0"/>
                <w:szCs w:val="21"/>
              </w:rPr>
              <w:t>地点</w:t>
            </w:r>
          </w:p>
        </w:tc>
        <w:tc>
          <w:tcPr>
            <w:tcW w:w="6785" w:type="dxa"/>
            <w:vAlign w:val="center"/>
          </w:tcPr>
          <w:p>
            <w:pPr>
              <w:snapToGrid w:val="0"/>
              <w:spacing w:line="42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pPr>
              <w:snapToGrid w:val="0"/>
              <w:spacing w:line="420" w:lineRule="exact"/>
              <w:ind w:firstLine="420" w:firstLineChars="200"/>
              <w:rPr>
                <w:rFonts w:ascii="宋体" w:hAnsi="宋体"/>
                <w:bCs/>
                <w:color w:val="auto"/>
                <w:szCs w:val="21"/>
              </w:rPr>
            </w:pPr>
            <w:r>
              <w:rPr>
                <w:rFonts w:ascii="宋体" w:hAnsi="宋体"/>
                <w:color w:val="auto"/>
                <w:kern w:val="0"/>
                <w:szCs w:val="21"/>
              </w:rPr>
              <w:t>开标地点：</w:t>
            </w:r>
            <w:r>
              <w:rPr>
                <w:rFonts w:hint="eastAsia" w:ascii="宋体" w:hAnsi="宋体"/>
                <w:bCs/>
                <w:color w:val="auto"/>
                <w:szCs w:val="21"/>
                <w:lang w:val="en-US" w:eastAsia="zh-CN"/>
              </w:rPr>
              <w:t>重庆市渝中区长江二路221号建科大厦1607室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szCs w:val="21"/>
              </w:rPr>
            </w:pPr>
            <w:r>
              <w:rPr>
                <w:rFonts w:hint="eastAsia" w:ascii="宋体" w:hAnsi="宋体"/>
                <w:color w:val="auto"/>
                <w:szCs w:val="21"/>
              </w:rPr>
              <w:t>5.2</w:t>
            </w:r>
          </w:p>
        </w:tc>
        <w:tc>
          <w:tcPr>
            <w:tcW w:w="1560" w:type="dxa"/>
            <w:vAlign w:val="center"/>
          </w:tcPr>
          <w:p>
            <w:pPr>
              <w:snapToGrid w:val="0"/>
              <w:spacing w:line="420" w:lineRule="exact"/>
              <w:jc w:val="center"/>
              <w:rPr>
                <w:rFonts w:ascii="宋体" w:hAnsi="宋体"/>
                <w:color w:val="auto"/>
                <w:szCs w:val="21"/>
              </w:rPr>
            </w:pPr>
            <w:r>
              <w:rPr>
                <w:rFonts w:hint="eastAsia" w:ascii="宋体" w:hAnsi="宋体"/>
                <w:color w:val="auto"/>
                <w:szCs w:val="21"/>
              </w:rPr>
              <w:t>开标程序</w:t>
            </w:r>
          </w:p>
        </w:tc>
        <w:tc>
          <w:tcPr>
            <w:tcW w:w="6785" w:type="dxa"/>
            <w:vAlign w:val="center"/>
          </w:tcPr>
          <w:p>
            <w:pPr>
              <w:autoSpaceDE w:val="0"/>
              <w:autoSpaceDN w:val="0"/>
              <w:adjustRightInd w:val="0"/>
              <w:snapToGrid w:val="0"/>
              <w:spacing w:line="360" w:lineRule="auto"/>
              <w:ind w:firstLine="420" w:firstLineChars="200"/>
              <w:rPr>
                <w:rFonts w:ascii="宋体" w:hAnsi="宋体"/>
                <w:color w:val="auto"/>
                <w:szCs w:val="21"/>
              </w:rPr>
            </w:pPr>
            <w:r>
              <w:rPr>
                <w:rFonts w:ascii="宋体" w:hAnsi="宋体"/>
                <w:color w:val="auto"/>
                <w:szCs w:val="21"/>
              </w:rPr>
              <w:t>主持人按下列程序进行开标：</w:t>
            </w:r>
          </w:p>
          <w:p>
            <w:pPr>
              <w:autoSpaceDE w:val="0"/>
              <w:autoSpaceDN w:val="0"/>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w:t>
            </w:r>
            <w:r>
              <w:rPr>
                <w:rFonts w:ascii="宋体" w:hAnsi="宋体"/>
                <w:color w:val="auto"/>
                <w:szCs w:val="21"/>
              </w:rPr>
              <w:t>.宣布开标纪律</w:t>
            </w:r>
            <w:r>
              <w:rPr>
                <w:rFonts w:hint="eastAsia" w:ascii="宋体" w:hAnsi="宋体"/>
                <w:color w:val="auto"/>
                <w:szCs w:val="21"/>
              </w:rPr>
              <w:t>。</w:t>
            </w:r>
          </w:p>
          <w:p>
            <w:pPr>
              <w:pStyle w:val="25"/>
              <w:spacing w:line="360" w:lineRule="auto"/>
              <w:rPr>
                <w:rFonts w:hint="default" w:eastAsia="宋体"/>
                <w:color w:val="auto"/>
                <w:lang w:val="en-US" w:eastAsia="zh-CN"/>
              </w:rPr>
            </w:pPr>
            <w:r>
              <w:rPr>
                <w:rFonts w:hint="eastAsia"/>
                <w:color w:val="auto"/>
                <w:lang w:val="en-US" w:eastAsia="zh-CN"/>
              </w:rPr>
              <w:t>2.公开在投标截止日期前递交投标文件的投标人名称</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szCs w:val="21"/>
              </w:rPr>
              <w:t>检查投标文件的密封</w:t>
            </w:r>
            <w:r>
              <w:rPr>
                <w:rFonts w:hint="eastAsia" w:ascii="宋体" w:hAnsi="宋体"/>
                <w:color w:val="auto"/>
                <w:szCs w:val="21"/>
                <w:lang w:val="en-US" w:eastAsia="zh-CN"/>
              </w:rPr>
              <w:t>情况</w:t>
            </w:r>
          </w:p>
          <w:p>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.汇总投标保证金交纳情况</w:t>
            </w:r>
          </w:p>
          <w:p>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 展示以</w:t>
            </w:r>
            <w:r>
              <w:rPr>
                <w:rFonts w:hint="eastAsia" w:ascii="宋体" w:hAnsi="宋体"/>
                <w:color w:val="auto"/>
                <w:szCs w:val="21"/>
                <w:lang w:val="en-US" w:eastAsia="zh-CN"/>
              </w:rPr>
              <w:t>支票或电汇形</w:t>
            </w:r>
            <w:r>
              <w:rPr>
                <w:rFonts w:hint="eastAsia" w:ascii="宋体" w:hAnsi="宋体"/>
                <w:color w:val="auto"/>
                <w:szCs w:val="21"/>
              </w:rPr>
              <w:t>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pPr>
              <w:snapToGrid w:val="0"/>
              <w:spacing w:line="360" w:lineRule="auto"/>
              <w:ind w:firstLine="420" w:firstLineChars="200"/>
              <w:rPr>
                <w:rFonts w:ascii="宋体" w:hAnsi="宋体"/>
                <w:color w:val="auto"/>
                <w:szCs w:val="21"/>
              </w:rPr>
            </w:pPr>
            <w:r>
              <w:rPr>
                <w:rFonts w:hint="eastAsia" w:ascii="宋体" w:hAnsi="宋体"/>
                <w:color w:val="auto"/>
                <w:szCs w:val="21"/>
              </w:rPr>
              <w:t>打印所有投标人的投标保证金交纳情況，并由</w:t>
            </w:r>
            <w:r>
              <w:rPr>
                <w:rFonts w:hint="eastAsia" w:ascii="宋体" w:hAnsi="宋体"/>
                <w:color w:val="auto"/>
                <w:szCs w:val="21"/>
                <w:lang w:val="en-US" w:eastAsia="zh-CN"/>
              </w:rPr>
              <w:t>评标委员会</w:t>
            </w:r>
            <w:r>
              <w:rPr>
                <w:rFonts w:hint="eastAsia" w:ascii="宋体" w:hAnsi="宋体"/>
                <w:color w:val="auto"/>
                <w:szCs w:val="21"/>
              </w:rPr>
              <w:t>签名确认。</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 公布最高限价，采用经评审最低投标价法的还需计算最高限价的 80%数值，以便评标委员会评审。</w:t>
            </w:r>
          </w:p>
          <w:p>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.逐单位随机开启投标文件。公布投标人名称、投标报价及其他内容记录在案</w:t>
            </w:r>
            <w:r>
              <w:rPr>
                <w:rFonts w:hint="eastAsia" w:ascii="宋体" w:hAnsi="宋体"/>
                <w:color w:val="auto"/>
                <w:szCs w:val="21"/>
              </w:rPr>
              <w:t>。</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7</w:t>
            </w:r>
            <w:r>
              <w:rPr>
                <w:rFonts w:ascii="宋体" w:hAnsi="宋体"/>
                <w:color w:val="auto"/>
                <w:szCs w:val="21"/>
              </w:rPr>
              <w:t>.</w:t>
            </w:r>
            <w:r>
              <w:rPr>
                <w:rFonts w:hint="eastAsia" w:ascii="宋体" w:hAnsi="宋体"/>
                <w:color w:val="auto"/>
                <w:szCs w:val="21"/>
                <w:lang w:val="en-US" w:eastAsia="zh-CN"/>
              </w:rPr>
              <w:t>评标委员会</w:t>
            </w:r>
            <w:r>
              <w:rPr>
                <w:rFonts w:ascii="宋体" w:hAnsi="宋体"/>
                <w:color w:val="auto"/>
                <w:szCs w:val="21"/>
              </w:rPr>
              <w:t>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w:t>
            </w:r>
          </w:p>
          <w:p>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8</w:t>
            </w:r>
            <w:r>
              <w:rPr>
                <w:rFonts w:ascii="宋体" w:hAnsi="宋体"/>
                <w:color w:val="auto"/>
                <w:szCs w:val="21"/>
              </w:rPr>
              <w:t>.开标结束。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6.1.1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评标委员会的组建</w:t>
            </w:r>
          </w:p>
        </w:tc>
        <w:tc>
          <w:tcPr>
            <w:tcW w:w="6785" w:type="dxa"/>
            <w:vAlign w:val="center"/>
          </w:tcPr>
          <w:p>
            <w:pPr>
              <w:autoSpaceDE w:val="0"/>
              <w:autoSpaceDN w:val="0"/>
              <w:adjustRightInd w:val="0"/>
              <w:snapToGrid w:val="0"/>
              <w:spacing w:line="420" w:lineRule="exact"/>
              <w:ind w:firstLine="436" w:firstLineChars="200"/>
              <w:rPr>
                <w:rFonts w:hint="default" w:ascii="宋体" w:hAnsi="宋体" w:eastAsia="宋体"/>
                <w:color w:val="auto"/>
                <w:kern w:val="0"/>
                <w:szCs w:val="21"/>
                <w:lang w:val="en-US" w:eastAsia="zh-CN"/>
              </w:rPr>
            </w:pPr>
            <w:r>
              <w:rPr>
                <w:rFonts w:hint="eastAsia" w:ascii="宋体" w:hAnsi="宋体"/>
                <w:color w:val="auto"/>
                <w:spacing w:val="4"/>
                <w:kern w:val="0"/>
                <w:szCs w:val="21"/>
              </w:rPr>
              <w:t>评标委员会</w:t>
            </w:r>
            <w:r>
              <w:rPr>
                <w:rFonts w:hint="eastAsia" w:ascii="宋体" w:hAnsi="宋体"/>
                <w:color w:val="auto"/>
                <w:spacing w:val="4"/>
                <w:kern w:val="0"/>
                <w:szCs w:val="21"/>
                <w:lang w:val="en-US" w:eastAsia="zh-CN"/>
              </w:rPr>
              <w:t>构成：由招标人自行组建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7.1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785" w:type="dxa"/>
            <w:vAlign w:val="center"/>
          </w:tcPr>
          <w:p>
            <w:pPr>
              <w:snapToGrid w:val="0"/>
              <w:spacing w:line="420" w:lineRule="exact"/>
              <w:ind w:firstLine="420" w:firstLineChars="200"/>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否，推荐经评审合格的报价由低到高排名前三名为中标候选人。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hint="eastAsia" w:ascii="宋体" w:hAnsi="宋体"/>
                <w:color w:val="auto"/>
                <w:kern w:val="0"/>
                <w:szCs w:val="21"/>
              </w:rPr>
              <w:t>7.2</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中标公示</w:t>
            </w:r>
          </w:p>
        </w:tc>
        <w:tc>
          <w:tcPr>
            <w:tcW w:w="6785" w:type="dxa"/>
            <w:vAlign w:val="center"/>
          </w:tcPr>
          <w:p>
            <w:pPr>
              <w:snapToGrid w:val="0"/>
              <w:spacing w:line="420" w:lineRule="exact"/>
              <w:ind w:firstLine="420" w:firstLineChars="200"/>
              <w:rPr>
                <w:rFonts w:ascii="宋体" w:hAnsi="宋体"/>
                <w:color w:val="auto"/>
                <w:kern w:val="0"/>
                <w:szCs w:val="21"/>
                <w:u w:val="single"/>
              </w:rPr>
            </w:pPr>
            <w:r>
              <w:rPr>
                <w:rFonts w:hint="eastAsia" w:ascii="宋体" w:hAnsi="宋体" w:cs="宋体"/>
                <w:color w:val="auto"/>
                <w:szCs w:val="21"/>
              </w:rPr>
              <w:t>招标人在</w:t>
            </w:r>
            <w:r>
              <w:rPr>
                <w:rFonts w:hint="eastAsia" w:ascii="宋体" w:hAnsi="宋体" w:cs="宋体"/>
                <w:color w:val="auto"/>
                <w:szCs w:val="21"/>
                <w:lang w:val="en-US" w:eastAsia="zh-CN"/>
              </w:rPr>
              <w:t>收到纸质的评标报告和中标候选人名单后应当确定排名第一的中标候选人为中标人，并在</w:t>
            </w:r>
            <w:r>
              <w:rPr>
                <w:rFonts w:hint="eastAsia" w:ascii="宋体" w:hAnsi="宋体" w:cs="宋体"/>
                <w:color w:val="auto"/>
                <w:szCs w:val="21"/>
              </w:rPr>
              <w:t>3日内将评标结果在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s="宋体"/>
                <w:color w:val="auto"/>
                <w:szCs w:val="21"/>
              </w:rPr>
              <w:t>上进行公示，公示期为</w:t>
            </w:r>
            <w:r>
              <w:rPr>
                <w:rFonts w:ascii="宋体" w:hAnsi="宋体" w:cs="宋体"/>
                <w:color w:val="auto"/>
                <w:szCs w:val="21"/>
              </w:rPr>
              <w:t>3日</w:t>
            </w:r>
            <w:r>
              <w:rPr>
                <w:rFonts w:hint="eastAsia" w:ascii="宋体" w:hAnsi="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7.</w:t>
            </w:r>
            <w:r>
              <w:rPr>
                <w:rFonts w:hint="eastAsia" w:ascii="宋体" w:hAnsi="宋体"/>
                <w:color w:val="auto"/>
                <w:kern w:val="0"/>
                <w:szCs w:val="21"/>
              </w:rPr>
              <w:t>4</w:t>
            </w:r>
            <w:r>
              <w:rPr>
                <w:rFonts w:ascii="宋体" w:hAnsi="宋体"/>
                <w:color w:val="auto"/>
                <w:kern w:val="0"/>
                <w:szCs w:val="21"/>
              </w:rPr>
              <w:t>.1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履约担保</w:t>
            </w:r>
          </w:p>
        </w:tc>
        <w:tc>
          <w:tcPr>
            <w:tcW w:w="6785" w:type="dxa"/>
            <w:vAlign w:val="center"/>
          </w:tcPr>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1.中标人是否提供履约担保：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pPr>
              <w:snapToGrid w:val="0"/>
              <w:spacing w:line="420" w:lineRule="exact"/>
              <w:ind w:firstLine="420" w:firstLineChars="200"/>
              <w:rPr>
                <w:rFonts w:hint="default" w:ascii="宋体" w:hAnsi="宋体"/>
                <w:color w:val="auto"/>
                <w:kern w:val="0"/>
                <w:szCs w:val="21"/>
                <w:u w:val="single"/>
                <w:lang w:val="en-US"/>
              </w:rPr>
            </w:pPr>
            <w:r>
              <w:rPr>
                <w:rFonts w:hint="eastAsia" w:ascii="宋体" w:hAnsi="宋体"/>
                <w:color w:val="auto"/>
                <w:kern w:val="0"/>
                <w:szCs w:val="21"/>
              </w:rPr>
              <w:t>（1）履约担保的形式：</w:t>
            </w:r>
            <w:r>
              <w:rPr>
                <w:rFonts w:hint="eastAsia" w:ascii="宋体" w:hAnsi="宋体"/>
                <w:color w:val="auto"/>
                <w:szCs w:val="21"/>
                <w:u w:val="single"/>
                <w:lang w:val="en-US" w:eastAsia="zh-CN"/>
              </w:rPr>
              <w:t>现金或现金+银行保函的组合</w:t>
            </w:r>
            <w:r>
              <w:rPr>
                <w:rFonts w:hint="eastAsia" w:ascii="宋体" w:hAnsi="宋体"/>
                <w:color w:val="auto"/>
                <w:szCs w:val="21"/>
                <w:lang w:val="en-US" w:eastAsia="zh-CN"/>
              </w:rPr>
              <w:t>；采用银行保函形式的，保函必须为不可撤销且见索即付。</w:t>
            </w:r>
          </w:p>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（2）履约担保的金额：</w:t>
            </w:r>
            <w:r>
              <w:rPr>
                <w:rFonts w:ascii="宋体" w:hAnsi="宋体"/>
                <w:color w:val="auto"/>
                <w:kern w:val="0"/>
                <w:szCs w:val="21"/>
                <w:u w:val="single"/>
              </w:rPr>
              <w:t>中标合同金额的</w:t>
            </w:r>
            <w:r>
              <w:rPr>
                <w:rFonts w:hint="eastAsia" w:ascii="宋体" w:hAnsi="宋体"/>
                <w:color w:val="auto"/>
                <w:kern w:val="0"/>
                <w:szCs w:val="21"/>
                <w:u w:val="single"/>
                <w:lang w:val="en-US" w:eastAsia="zh-CN"/>
              </w:rPr>
              <w:t>5</w:t>
            </w:r>
            <w:r>
              <w:rPr>
                <w:rFonts w:ascii="宋体" w:hAnsi="宋体"/>
                <w:color w:val="auto"/>
                <w:kern w:val="0"/>
                <w:szCs w:val="21"/>
                <w:u w:val="single"/>
              </w:rPr>
              <w:t>%</w:t>
            </w:r>
            <w:r>
              <w:rPr>
                <w:rFonts w:hint="eastAsia" w:ascii="宋体" w:hAnsi="宋体"/>
                <w:color w:val="auto"/>
                <w:kern w:val="0"/>
                <w:szCs w:val="21"/>
              </w:rPr>
              <w:t>。</w:t>
            </w:r>
          </w:p>
          <w:p>
            <w:pPr>
              <w:snapToGrid w:val="0"/>
              <w:spacing w:line="420" w:lineRule="exact"/>
              <w:ind w:firstLine="420" w:firstLineChars="200"/>
              <w:rPr>
                <w:rFonts w:hint="eastAsia" w:ascii="Times New Roman" w:hAnsi="Times New Roman" w:eastAsia="仿宋"/>
                <w:color w:val="FF0000"/>
                <w:sz w:val="28"/>
                <w:szCs w:val="30"/>
                <w:u w:val="wave"/>
                <w:lang w:val="en-US" w:eastAsia="zh-CN"/>
              </w:rPr>
            </w:pPr>
            <w:r>
              <w:rPr>
                <w:rFonts w:hint="eastAsia" w:ascii="宋体" w:hAnsi="宋体"/>
                <w:color w:val="auto"/>
                <w:kern w:val="0"/>
                <w:szCs w:val="21"/>
              </w:rPr>
              <w:t>（3）履约担保的提交时间：</w:t>
            </w:r>
            <w:r>
              <w:rPr>
                <w:rFonts w:hint="eastAsia" w:ascii="宋体" w:hAnsi="宋体"/>
                <w:i w:val="0"/>
                <w:iCs w:val="0"/>
                <w:color w:val="auto"/>
                <w:kern w:val="0"/>
                <w:szCs w:val="21"/>
                <w:u w:val="single"/>
                <w:lang w:val="en-US" w:eastAsia="zh-CN"/>
              </w:rPr>
              <w:t>在合同订立前，中标人按担保金额向招标人提交履约担保</w:t>
            </w:r>
            <w:r>
              <w:rPr>
                <w:rFonts w:hint="eastAsia" w:ascii="宋体" w:hAnsi="宋体"/>
                <w:i w:val="0"/>
                <w:iCs w:val="0"/>
                <w:color w:val="auto"/>
                <w:kern w:val="0"/>
                <w:szCs w:val="21"/>
                <w:u w:val="none"/>
                <w:lang w:val="en-US" w:eastAsia="zh-CN"/>
              </w:rPr>
              <w:t>。</w:t>
            </w:r>
          </w:p>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（4）履约担保的期限：</w:t>
            </w:r>
            <w:r>
              <w:rPr>
                <w:rFonts w:hint="eastAsia" w:ascii="宋体" w:hAnsi="宋体"/>
                <w:color w:val="auto"/>
                <w:kern w:val="0"/>
                <w:szCs w:val="21"/>
                <w:lang w:val="en-US" w:eastAsia="zh-CN"/>
              </w:rPr>
              <w:t>至提交履约保证金之日起至整体竣工验收合格之日止</w:t>
            </w:r>
            <w:r>
              <w:rPr>
                <w:rFonts w:hint="eastAsia" w:ascii="宋体" w:hAnsi="宋体"/>
                <w:color w:val="auto"/>
                <w:kern w:val="0"/>
                <w:szCs w:val="21"/>
              </w:rPr>
              <w:t>。</w:t>
            </w:r>
          </w:p>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（5）履约担保的退还时间：</w:t>
            </w:r>
            <w:r>
              <w:rPr>
                <w:rFonts w:hint="eastAsia" w:ascii="宋体" w:hAnsi="宋体"/>
                <w:color w:val="auto"/>
                <w:kern w:val="0"/>
                <w:szCs w:val="21"/>
                <w:lang w:val="en-US" w:eastAsia="zh-CN"/>
              </w:rPr>
              <w:t>工程竣工验收合格后15个工作日内一次性予以无息退还</w:t>
            </w:r>
            <w:r>
              <w:rPr>
                <w:rFonts w:hint="eastAsia" w:ascii="宋体" w:hAnsi="宋体"/>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8.1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重新招标</w:t>
            </w:r>
            <w:r>
              <w:rPr>
                <w:rFonts w:hint="eastAsia" w:ascii="宋体" w:hAnsi="宋体"/>
                <w:color w:val="auto"/>
                <w:kern w:val="0"/>
                <w:szCs w:val="21"/>
              </w:rPr>
              <w:t>的情形</w:t>
            </w:r>
          </w:p>
        </w:tc>
        <w:tc>
          <w:tcPr>
            <w:tcW w:w="6785" w:type="dxa"/>
            <w:vAlign w:val="center"/>
          </w:tcPr>
          <w:p>
            <w:pPr>
              <w:snapToGrid w:val="0"/>
              <w:spacing w:line="420" w:lineRule="exact"/>
              <w:ind w:firstLine="420" w:firstLineChars="200"/>
              <w:rPr>
                <w:rFonts w:ascii="宋体" w:hAnsi="宋体"/>
                <w:color w:val="auto"/>
                <w:szCs w:val="21"/>
                <w:u w:val="none"/>
              </w:rPr>
            </w:pPr>
            <w:r>
              <w:rPr>
                <w:rFonts w:ascii="宋体" w:hAnsi="宋体"/>
                <w:color w:val="auto"/>
                <w:szCs w:val="21"/>
                <w:u w:val="none"/>
              </w:rPr>
              <w:t>1.按投标人须知</w:t>
            </w:r>
            <w:r>
              <w:rPr>
                <w:rFonts w:hint="eastAsia" w:ascii="宋体" w:hAnsi="宋体"/>
                <w:color w:val="auto"/>
                <w:szCs w:val="21"/>
                <w:u w:val="none"/>
                <w:lang w:val="en-US" w:eastAsia="zh-CN"/>
              </w:rPr>
              <w:t>正文</w:t>
            </w:r>
            <w:r>
              <w:rPr>
                <w:rFonts w:ascii="宋体" w:hAnsi="宋体"/>
                <w:color w:val="auto"/>
                <w:szCs w:val="21"/>
                <w:u w:val="none"/>
              </w:rPr>
              <w:t>第8.1（1）执行；</w:t>
            </w:r>
          </w:p>
          <w:p>
            <w:pPr>
              <w:snapToGrid w:val="0"/>
              <w:spacing w:line="420" w:lineRule="exact"/>
              <w:ind w:firstLine="420" w:firstLineChars="200"/>
              <w:rPr>
                <w:rFonts w:ascii="宋体" w:hAnsi="宋体"/>
                <w:color w:val="auto"/>
                <w:szCs w:val="21"/>
                <w:u w:val="none"/>
              </w:rPr>
            </w:pPr>
            <w:r>
              <w:rPr>
                <w:rFonts w:ascii="宋体" w:hAnsi="宋体"/>
                <w:color w:val="auto"/>
                <w:szCs w:val="21"/>
                <w:u w:val="none"/>
              </w:rPr>
              <w:t>2.按投标人须知</w:t>
            </w:r>
            <w:r>
              <w:rPr>
                <w:rFonts w:hint="eastAsia" w:ascii="宋体" w:hAnsi="宋体"/>
                <w:color w:val="auto"/>
                <w:szCs w:val="21"/>
                <w:u w:val="none"/>
                <w:lang w:val="en-US" w:eastAsia="zh-CN"/>
              </w:rPr>
              <w:t>正文</w:t>
            </w:r>
            <w:r>
              <w:rPr>
                <w:rFonts w:ascii="宋体" w:hAnsi="宋体"/>
                <w:color w:val="auto"/>
                <w:szCs w:val="21"/>
                <w:u w:val="none"/>
              </w:rPr>
              <w:t>第8.1（2）执行；</w:t>
            </w:r>
          </w:p>
          <w:p>
            <w:pPr>
              <w:widowControl/>
              <w:spacing w:line="420" w:lineRule="exact"/>
              <w:ind w:firstLine="420" w:firstLineChars="200"/>
              <w:rPr>
                <w:rFonts w:ascii="宋体" w:hAnsi="宋体"/>
                <w:color w:val="auto"/>
                <w:szCs w:val="21"/>
                <w:u w:val="none"/>
              </w:rPr>
            </w:pPr>
            <w:r>
              <w:rPr>
                <w:rFonts w:ascii="宋体" w:hAnsi="宋体"/>
                <w:color w:val="auto"/>
                <w:szCs w:val="21"/>
                <w:u w:val="none"/>
              </w:rPr>
              <w:t>3.按投标人须知</w:t>
            </w:r>
            <w:r>
              <w:rPr>
                <w:rFonts w:hint="eastAsia" w:ascii="宋体" w:hAnsi="宋体"/>
                <w:color w:val="auto"/>
                <w:szCs w:val="21"/>
                <w:u w:val="none"/>
                <w:lang w:val="en-US" w:eastAsia="zh-CN"/>
              </w:rPr>
              <w:t>正文</w:t>
            </w:r>
            <w:r>
              <w:rPr>
                <w:rFonts w:ascii="宋体" w:hAnsi="宋体"/>
                <w:color w:val="auto"/>
                <w:szCs w:val="21"/>
                <w:u w:val="none"/>
              </w:rPr>
              <w:t>第8.1（3）执行；</w:t>
            </w:r>
          </w:p>
          <w:p>
            <w:pPr>
              <w:widowControl/>
              <w:snapToGrid w:val="0"/>
              <w:spacing w:line="420" w:lineRule="exact"/>
              <w:ind w:firstLine="420" w:firstLineChars="200"/>
              <w:rPr>
                <w:rFonts w:ascii="宋体" w:hAnsi="宋体"/>
                <w:color w:val="auto"/>
                <w:szCs w:val="21"/>
                <w:u w:val="none"/>
              </w:rPr>
            </w:pPr>
            <w:r>
              <w:rPr>
                <w:rFonts w:ascii="宋体" w:hAnsi="宋体"/>
                <w:color w:val="auto"/>
                <w:szCs w:val="21"/>
                <w:u w:val="none"/>
              </w:rPr>
              <w:t>4.按投标人须知</w:t>
            </w:r>
            <w:r>
              <w:rPr>
                <w:rFonts w:hint="eastAsia" w:ascii="宋体" w:hAnsi="宋体"/>
                <w:color w:val="auto"/>
                <w:szCs w:val="21"/>
                <w:u w:val="none"/>
                <w:lang w:val="en-US" w:eastAsia="zh-CN"/>
              </w:rPr>
              <w:t>正文</w:t>
            </w:r>
            <w:r>
              <w:rPr>
                <w:rFonts w:ascii="宋体" w:hAnsi="宋体"/>
                <w:color w:val="auto"/>
                <w:szCs w:val="21"/>
                <w:u w:val="none"/>
              </w:rPr>
              <w:t>第8.1（4）执行</w:t>
            </w:r>
            <w:r>
              <w:rPr>
                <w:rFonts w:hint="eastAsia" w:ascii="宋体" w:hAnsi="宋体"/>
                <w:color w:val="auto"/>
                <w:szCs w:val="21"/>
                <w:u w:val="none"/>
              </w:rPr>
              <w:t>；</w:t>
            </w:r>
          </w:p>
          <w:p>
            <w:pPr>
              <w:widowControl/>
              <w:snapToGrid w:val="0"/>
              <w:spacing w:line="420" w:lineRule="exact"/>
              <w:ind w:firstLine="420" w:firstLineChars="200"/>
              <w:rPr>
                <w:rFonts w:ascii="宋体" w:hAnsi="宋体"/>
                <w:color w:val="auto"/>
                <w:szCs w:val="21"/>
              </w:rPr>
            </w:pPr>
            <w:r>
              <w:rPr>
                <w:rFonts w:hint="eastAsia" w:ascii="宋体" w:hAnsi="宋体"/>
                <w:color w:val="auto"/>
                <w:szCs w:val="21"/>
                <w:u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8.2</w:t>
            </w:r>
          </w:p>
        </w:tc>
        <w:tc>
          <w:tcPr>
            <w:tcW w:w="1560" w:type="dxa"/>
            <w:vAlign w:val="center"/>
          </w:tcPr>
          <w:p>
            <w:pPr>
              <w:snapToGrid w:val="0"/>
              <w:spacing w:line="420" w:lineRule="exact"/>
              <w:jc w:val="center"/>
              <w:rPr>
                <w:rFonts w:ascii="宋体" w:hAnsi="宋体"/>
                <w:color w:val="auto"/>
                <w:szCs w:val="21"/>
              </w:rPr>
            </w:pPr>
            <w:bookmarkStart w:id="127" w:name="_Toc430530434"/>
            <w:bookmarkStart w:id="128" w:name="_Toc13210670"/>
            <w:bookmarkStart w:id="129" w:name="_Toc536628250"/>
            <w:bookmarkStart w:id="130" w:name="_Toc509218709"/>
            <w:bookmarkStart w:id="131" w:name="_Toc16930431"/>
            <w:r>
              <w:rPr>
                <w:rFonts w:hint="eastAsia" w:ascii="宋体" w:hAnsi="宋体"/>
                <w:color w:val="auto"/>
                <w:kern w:val="0"/>
                <w:szCs w:val="21"/>
              </w:rPr>
              <w:t>重新</w:t>
            </w:r>
            <w:r>
              <w:rPr>
                <w:rFonts w:ascii="宋体" w:hAnsi="宋体"/>
                <w:color w:val="auto"/>
                <w:kern w:val="0"/>
                <w:szCs w:val="21"/>
              </w:rPr>
              <w:t>招标和不再招标</w:t>
            </w:r>
            <w:bookmarkEnd w:id="127"/>
            <w:bookmarkEnd w:id="128"/>
            <w:bookmarkEnd w:id="129"/>
            <w:bookmarkEnd w:id="130"/>
            <w:bookmarkEnd w:id="131"/>
          </w:p>
        </w:tc>
        <w:tc>
          <w:tcPr>
            <w:tcW w:w="6785" w:type="dxa"/>
            <w:vAlign w:val="center"/>
          </w:tcPr>
          <w:p>
            <w:pPr>
              <w:autoSpaceDE w:val="0"/>
              <w:autoSpaceDN w:val="0"/>
              <w:adjustRightInd w:val="0"/>
              <w:snapToGrid w:val="0"/>
              <w:spacing w:line="420" w:lineRule="exact"/>
              <w:ind w:firstLine="420" w:firstLineChars="200"/>
              <w:rPr>
                <w:rFonts w:ascii="宋体" w:hAnsi="宋体"/>
                <w:snapToGrid w:val="0"/>
                <w:color w:val="auto"/>
                <w:kern w:val="0"/>
                <w:szCs w:val="21"/>
              </w:rPr>
            </w:pPr>
            <w:r>
              <w:rPr>
                <w:rFonts w:ascii="宋体" w:hAnsi="宋体"/>
                <w:snapToGrid w:val="0"/>
                <w:color w:val="auto"/>
                <w:kern w:val="0"/>
                <w:szCs w:val="21"/>
                <w:u w:val="none"/>
                <w:lang w:val="en"/>
              </w:rPr>
              <w:t>重新招标的投标人仍然少于三个的，按照规定的程序开标和评标。重新招标经评审有有效投标人的，应当依法确定中标候选人；无有效投标人的，可以不再进行招标</w:t>
            </w:r>
            <w:r>
              <w:rPr>
                <w:rFonts w:hint="eastAsia" w:ascii="宋体" w:hAnsi="宋体"/>
                <w:snapToGrid w:val="0"/>
                <w:color w:val="auto"/>
                <w:kern w:val="0"/>
                <w:szCs w:val="21"/>
                <w:u w:val="none"/>
                <w:lang w:val="en" w:eastAsia="zh-CN"/>
              </w:rPr>
              <w:t>，</w:t>
            </w:r>
            <w:r>
              <w:rPr>
                <w:rFonts w:hint="eastAsia" w:ascii="宋体" w:hAnsi="宋体"/>
                <w:snapToGrid w:val="0"/>
                <w:color w:val="auto"/>
                <w:kern w:val="0"/>
                <w:szCs w:val="21"/>
                <w:u w:val="none"/>
                <w:lang w:val="en-US" w:eastAsia="zh-CN"/>
              </w:rPr>
              <w:t>由招标人自行确定</w:t>
            </w:r>
            <w:r>
              <w:rPr>
                <w:rFonts w:ascii="宋体" w:hAnsi="宋体"/>
                <w:snapToGrid w:val="0"/>
                <w:color w:val="auto"/>
                <w:kern w:val="0"/>
                <w:szCs w:val="21"/>
                <w:u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10</w:t>
            </w:r>
          </w:p>
        </w:tc>
        <w:tc>
          <w:tcPr>
            <w:tcW w:w="8345" w:type="dxa"/>
            <w:gridSpan w:val="2"/>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10.1</w:t>
            </w:r>
          </w:p>
        </w:tc>
        <w:tc>
          <w:tcPr>
            <w:tcW w:w="1560" w:type="dxa"/>
            <w:vAlign w:val="center"/>
          </w:tcPr>
          <w:p>
            <w:pPr>
              <w:snapToGrid w:val="0"/>
              <w:spacing w:line="420" w:lineRule="exact"/>
              <w:jc w:val="center"/>
              <w:rPr>
                <w:rFonts w:ascii="宋体" w:hAnsi="宋体"/>
                <w:color w:val="auto"/>
                <w:kern w:val="0"/>
                <w:szCs w:val="21"/>
              </w:rPr>
            </w:pPr>
            <w:r>
              <w:rPr>
                <w:rFonts w:ascii="宋体" w:hAnsi="宋体"/>
                <w:color w:val="auto"/>
                <w:kern w:val="0"/>
                <w:szCs w:val="21"/>
              </w:rPr>
              <w:t>支付担保</w:t>
            </w:r>
          </w:p>
        </w:tc>
        <w:tc>
          <w:tcPr>
            <w:tcW w:w="6785" w:type="dxa"/>
            <w:vAlign w:val="center"/>
          </w:tcPr>
          <w:p>
            <w:pPr>
              <w:snapToGrid w:val="0"/>
              <w:spacing w:line="420" w:lineRule="exact"/>
              <w:ind w:firstLine="420" w:firstLineChars="200"/>
              <w:rPr>
                <w:rFonts w:ascii="宋体" w:hAnsi="宋体"/>
                <w:color w:val="auto"/>
                <w:kern w:val="0"/>
                <w:szCs w:val="21"/>
              </w:rPr>
            </w:pPr>
            <w:r>
              <w:rPr>
                <w:rFonts w:hint="eastAsia" w:ascii="宋体" w:hAnsi="宋体"/>
                <w:color w:val="auto"/>
                <w:kern w:val="0"/>
                <w:szCs w:val="21"/>
              </w:rPr>
              <w:t>不采用。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hint="eastAsia" w:ascii="宋体" w:hAnsi="宋体" w:eastAsia="宋体"/>
                <w:color w:val="auto"/>
                <w:kern w:val="0"/>
                <w:szCs w:val="21"/>
                <w:lang w:eastAsia="zh-CN"/>
              </w:rPr>
            </w:pPr>
            <w:bookmarkStart w:id="132" w:name="_Toc200513126"/>
            <w:bookmarkStart w:id="133" w:name="_Toc224103317"/>
            <w:bookmarkStart w:id="134" w:name="_Toc287620685"/>
            <w:bookmarkStart w:id="135" w:name="_Toc287607746"/>
            <w:bookmarkStart w:id="136" w:name="_Toc430530435"/>
            <w:bookmarkStart w:id="137" w:name="_Toc277082552"/>
            <w:r>
              <w:rPr>
                <w:rFonts w:hint="eastAsia" w:ascii="宋体" w:hAnsi="宋体"/>
                <w:color w:val="auto"/>
                <w:kern w:val="0"/>
                <w:szCs w:val="21"/>
              </w:rPr>
              <w:t>10.</w:t>
            </w:r>
            <w:r>
              <w:rPr>
                <w:rFonts w:hint="eastAsia" w:ascii="宋体" w:hAnsi="宋体"/>
                <w:color w:val="auto"/>
                <w:kern w:val="0"/>
                <w:szCs w:val="21"/>
                <w:lang w:val="en-US" w:eastAsia="zh-CN"/>
              </w:rPr>
              <w:t>2</w:t>
            </w:r>
          </w:p>
        </w:tc>
        <w:tc>
          <w:tcPr>
            <w:tcW w:w="1560" w:type="dxa"/>
            <w:vAlign w:val="center"/>
          </w:tcPr>
          <w:p>
            <w:pPr>
              <w:snapToGrid w:val="0"/>
              <w:spacing w:line="420" w:lineRule="exact"/>
              <w:jc w:val="center"/>
              <w:rPr>
                <w:rFonts w:hint="eastAsia" w:ascii="宋体" w:hAnsi="宋体"/>
                <w:color w:val="auto"/>
                <w:kern w:val="0"/>
                <w:szCs w:val="21"/>
              </w:rPr>
            </w:pPr>
            <w:r>
              <w:rPr>
                <w:rFonts w:hint="eastAsia" w:ascii="宋体" w:hAnsi="宋体"/>
                <w:color w:val="auto"/>
                <w:kern w:val="0"/>
                <w:szCs w:val="21"/>
              </w:rPr>
              <w:t>低价风险担保</w:t>
            </w:r>
          </w:p>
          <w:p>
            <w:pPr>
              <w:snapToGrid w:val="0"/>
              <w:spacing w:line="420" w:lineRule="exact"/>
              <w:jc w:val="center"/>
              <w:rPr>
                <w:rFonts w:hint="eastAsia" w:ascii="宋体" w:hAnsi="宋体"/>
                <w:color w:val="auto"/>
                <w:kern w:val="0"/>
                <w:szCs w:val="21"/>
              </w:rPr>
            </w:pPr>
            <w:r>
              <w:rPr>
                <w:rFonts w:hint="eastAsia" w:ascii="宋体" w:hAnsi="宋体"/>
                <w:color w:val="auto"/>
                <w:kern w:val="0"/>
                <w:szCs w:val="21"/>
              </w:rPr>
              <w:t>（采用经评审</w:t>
            </w:r>
          </w:p>
          <w:p>
            <w:pPr>
              <w:snapToGrid w:val="0"/>
              <w:spacing w:line="420" w:lineRule="exact"/>
              <w:jc w:val="center"/>
              <w:rPr>
                <w:rFonts w:hint="eastAsia" w:ascii="宋体" w:hAnsi="宋体"/>
                <w:color w:val="auto"/>
                <w:kern w:val="0"/>
                <w:szCs w:val="21"/>
              </w:rPr>
            </w:pPr>
            <w:r>
              <w:rPr>
                <w:rFonts w:hint="eastAsia" w:ascii="宋体" w:hAnsi="宋体"/>
                <w:color w:val="auto"/>
                <w:kern w:val="0"/>
                <w:szCs w:val="21"/>
              </w:rPr>
              <w:t>的最低投标价</w:t>
            </w:r>
          </w:p>
          <w:p>
            <w:pPr>
              <w:snapToGrid w:val="0"/>
              <w:spacing w:line="420" w:lineRule="exact"/>
              <w:jc w:val="center"/>
              <w:rPr>
                <w:rFonts w:ascii="宋体" w:hAnsi="宋体"/>
                <w:color w:val="auto"/>
                <w:kern w:val="0"/>
                <w:szCs w:val="21"/>
              </w:rPr>
            </w:pPr>
            <w:r>
              <w:rPr>
                <w:rFonts w:hint="eastAsia" w:ascii="宋体" w:hAnsi="宋体"/>
                <w:color w:val="auto"/>
                <w:kern w:val="0"/>
                <w:szCs w:val="21"/>
              </w:rPr>
              <w:t>法适用）</w:t>
            </w:r>
          </w:p>
        </w:tc>
        <w:tc>
          <w:tcPr>
            <w:tcW w:w="6785" w:type="dxa"/>
            <w:vAlign w:val="center"/>
          </w:tcPr>
          <w:p>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1、低价风险担保：中标价低于最高限价的8</w:t>
            </w:r>
            <w:r>
              <w:rPr>
                <w:rFonts w:hint="eastAsia" w:ascii="宋体" w:hAnsi="宋体"/>
                <w:color w:val="auto"/>
                <w:kern w:val="0"/>
                <w:szCs w:val="21"/>
                <w:lang w:val="en-US" w:eastAsia="zh-CN"/>
              </w:rPr>
              <w:t>0</w:t>
            </w:r>
            <w:r>
              <w:rPr>
                <w:rFonts w:hint="eastAsia" w:ascii="宋体" w:hAnsi="宋体"/>
                <w:color w:val="auto"/>
                <w:kern w:val="0"/>
                <w:szCs w:val="21"/>
              </w:rPr>
              <w:t>%时提供，如不按时足额提供，视为中标人放弃中标，招标人有权不退还其投标保证金。</w:t>
            </w:r>
          </w:p>
          <w:p>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2、中标人提供低价风险担保的形式、金额及期限：</w:t>
            </w:r>
          </w:p>
          <w:p>
            <w:pPr>
              <w:snapToGrid w:val="0"/>
              <w:spacing w:line="360" w:lineRule="auto"/>
              <w:ind w:firstLine="420" w:firstLineChars="200"/>
              <w:rPr>
                <w:color w:val="auto"/>
                <w:u w:val="none"/>
              </w:rPr>
            </w:pPr>
            <w:r>
              <w:rPr>
                <w:rFonts w:hint="eastAsia" w:ascii="宋体" w:hAnsi="宋体"/>
                <w:color w:val="auto"/>
                <w:kern w:val="0"/>
                <w:szCs w:val="21"/>
              </w:rPr>
              <w:t>（1）低价风险担保的形式：</w:t>
            </w:r>
            <w:r>
              <w:rPr>
                <w:rFonts w:hint="eastAsia"/>
                <w:color w:val="auto"/>
                <w:u w:val="none"/>
              </w:rPr>
              <w:t>转账支票或电汇形式</w:t>
            </w:r>
            <w:r>
              <w:rPr>
                <w:rFonts w:hint="eastAsia" w:ascii="宋体" w:hAnsi="宋体"/>
                <w:color w:val="auto"/>
                <w:kern w:val="0"/>
                <w:szCs w:val="21"/>
                <w:u w:val="none"/>
              </w:rPr>
              <w:t>；</w:t>
            </w:r>
            <w:r>
              <w:rPr>
                <w:rFonts w:hint="eastAsia" w:ascii="宋体" w:hAnsi="宋体"/>
                <w:color w:val="auto"/>
                <w:kern w:val="0"/>
                <w:szCs w:val="21"/>
                <w:u w:val="none"/>
                <w:lang w:val="en-US" w:eastAsia="zh-CN"/>
              </w:rPr>
              <w:t>中</w:t>
            </w:r>
            <w:r>
              <w:rPr>
                <w:rFonts w:hint="eastAsia" w:ascii="宋体" w:hAnsi="宋体"/>
                <w:color w:val="auto"/>
                <w:kern w:val="0"/>
                <w:szCs w:val="21"/>
                <w:u w:val="none"/>
              </w:rPr>
              <w:t>标人从企业的基本账户（开户行）在</w:t>
            </w:r>
            <w:r>
              <w:rPr>
                <w:rFonts w:hint="eastAsia" w:ascii="宋体" w:hAnsi="宋体"/>
                <w:color w:val="auto"/>
                <w:kern w:val="0"/>
                <w:szCs w:val="21"/>
                <w:u w:val="none"/>
                <w:lang w:val="en-US" w:eastAsia="zh-CN"/>
              </w:rPr>
              <w:t>合同订立</w:t>
            </w:r>
            <w:r>
              <w:rPr>
                <w:rFonts w:hint="eastAsia" w:ascii="宋体" w:hAnsi="宋体"/>
                <w:color w:val="auto"/>
                <w:kern w:val="0"/>
                <w:szCs w:val="21"/>
                <w:u w:val="none"/>
              </w:rPr>
              <w:t>前通过转账支票直接划付或以电汇方式直接划付至</w:t>
            </w:r>
            <w:r>
              <w:rPr>
                <w:rFonts w:hint="eastAsia" w:ascii="宋体" w:hAnsi="宋体"/>
                <w:color w:val="auto"/>
                <w:kern w:val="0"/>
                <w:szCs w:val="21"/>
                <w:u w:val="none"/>
                <w:lang w:val="en-US" w:eastAsia="zh-CN"/>
              </w:rPr>
              <w:t>招标人</w:t>
            </w:r>
            <w:r>
              <w:rPr>
                <w:rFonts w:hint="eastAsia" w:ascii="宋体" w:hAnsi="宋体"/>
                <w:color w:val="auto"/>
                <w:kern w:val="0"/>
                <w:szCs w:val="21"/>
                <w:u w:val="none"/>
              </w:rPr>
              <w:t>指定的账户。</w:t>
            </w:r>
          </w:p>
          <w:p>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（2）低价风险担保的金额：（最高限价×8</w:t>
            </w:r>
            <w:r>
              <w:rPr>
                <w:rFonts w:hint="eastAsia" w:ascii="宋体" w:hAnsi="宋体"/>
                <w:color w:val="auto"/>
                <w:kern w:val="0"/>
                <w:szCs w:val="21"/>
                <w:lang w:val="en-US" w:eastAsia="zh-CN"/>
              </w:rPr>
              <w:t>0</w:t>
            </w:r>
            <w:r>
              <w:rPr>
                <w:rFonts w:hint="eastAsia" w:ascii="宋体" w:hAnsi="宋体"/>
                <w:color w:val="auto"/>
                <w:kern w:val="0"/>
                <w:szCs w:val="21"/>
              </w:rPr>
              <w:t>%-中标价）×□1□2☑3，且最高不超过最高限价的8</w:t>
            </w:r>
            <w:r>
              <w:rPr>
                <w:rFonts w:hint="eastAsia" w:ascii="宋体" w:hAnsi="宋体"/>
                <w:color w:val="auto"/>
                <w:kern w:val="0"/>
                <w:szCs w:val="21"/>
                <w:lang w:val="en-US" w:eastAsia="zh-CN"/>
              </w:rPr>
              <w:t>0</w:t>
            </w:r>
            <w:r>
              <w:rPr>
                <w:rFonts w:hint="eastAsia" w:ascii="宋体" w:hAnsi="宋体"/>
                <w:color w:val="auto"/>
                <w:kern w:val="0"/>
                <w:szCs w:val="21"/>
              </w:rPr>
              <w:t>%。</w:t>
            </w:r>
          </w:p>
          <w:p>
            <w:pPr>
              <w:snapToGrid w:val="0"/>
              <w:spacing w:line="360" w:lineRule="auto"/>
              <w:ind w:firstLine="420" w:firstLineChars="200"/>
              <w:rPr>
                <w:rFonts w:hint="eastAsia" w:ascii="宋体" w:hAnsi="宋体"/>
                <w:color w:val="auto"/>
                <w:kern w:val="0"/>
                <w:szCs w:val="21"/>
                <w:u w:val="none"/>
              </w:rPr>
            </w:pPr>
            <w:r>
              <w:rPr>
                <w:rFonts w:hint="eastAsia" w:ascii="宋体" w:hAnsi="宋体"/>
                <w:color w:val="auto"/>
                <w:kern w:val="0"/>
                <w:szCs w:val="21"/>
              </w:rPr>
              <w:t>（3）低价风险担保送达招标人的时间：</w:t>
            </w:r>
            <w:r>
              <w:rPr>
                <w:rFonts w:hint="eastAsia" w:ascii="宋体" w:hAnsi="宋体"/>
                <w:i w:val="0"/>
                <w:iCs w:val="0"/>
                <w:color w:val="auto"/>
                <w:kern w:val="0"/>
                <w:szCs w:val="21"/>
                <w:u w:val="none"/>
                <w:lang w:val="en-US" w:eastAsia="zh-CN"/>
              </w:rPr>
              <w:t>在合同订立前，中标人按担保金额向招标人提交低风险担保。</w:t>
            </w:r>
          </w:p>
          <w:p>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（4）中标人因自身原因未按中标通知书规定的时限与招标人签订合同的，招标人有权扣除其低价风险担保并取消中标资格。</w:t>
            </w:r>
          </w:p>
          <w:p>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（5）低价风险担保的期限：自低价风险担保生效之日起至工程</w:t>
            </w:r>
            <w:r>
              <w:rPr>
                <w:rFonts w:hint="eastAsia" w:ascii="宋体" w:hAnsi="宋体"/>
                <w:color w:val="auto"/>
                <w:kern w:val="0"/>
                <w:szCs w:val="21"/>
                <w:lang w:val="en-US" w:eastAsia="zh-CN"/>
              </w:rPr>
              <w:t>整体竣工</w:t>
            </w:r>
            <w:r>
              <w:rPr>
                <w:rFonts w:hint="eastAsia" w:ascii="宋体" w:hAnsi="宋体"/>
                <w:color w:val="auto"/>
                <w:kern w:val="0"/>
                <w:szCs w:val="21"/>
              </w:rPr>
              <w:t>验收合格之日止。</w:t>
            </w:r>
          </w:p>
          <w:p>
            <w:pPr>
              <w:snapToGrid w:val="0"/>
              <w:spacing w:line="420" w:lineRule="exact"/>
              <w:ind w:firstLine="420" w:firstLineChars="200"/>
              <w:rPr>
                <w:rFonts w:hint="eastAsia" w:ascii="宋体" w:hAnsi="宋体"/>
                <w:color w:val="auto"/>
                <w:kern w:val="0"/>
                <w:szCs w:val="21"/>
              </w:rPr>
            </w:pPr>
            <w:r>
              <w:rPr>
                <w:rFonts w:hint="eastAsia" w:ascii="宋体" w:hAnsi="宋体"/>
                <w:color w:val="auto"/>
                <w:kern w:val="0"/>
                <w:szCs w:val="21"/>
              </w:rPr>
              <w:t xml:space="preserve">3、低价风险担保的退还时间：工程竣工验收合格后 </w:t>
            </w:r>
            <w:r>
              <w:rPr>
                <w:rFonts w:hint="eastAsia" w:ascii="宋体" w:hAnsi="宋体"/>
                <w:color w:val="auto"/>
                <w:kern w:val="0"/>
                <w:szCs w:val="21"/>
                <w:lang w:val="en-US" w:eastAsia="zh-CN"/>
              </w:rPr>
              <w:t>15</w:t>
            </w:r>
            <w:r>
              <w:rPr>
                <w:rFonts w:hint="eastAsia" w:ascii="宋体" w:hAnsi="宋体"/>
                <w:color w:val="auto"/>
                <w:kern w:val="0"/>
                <w:szCs w:val="21"/>
              </w:rPr>
              <w:t xml:space="preserve"> 天内无息退还；</w:t>
            </w:r>
          </w:p>
          <w:p>
            <w:pPr>
              <w:snapToGrid w:val="0"/>
              <w:spacing w:line="420" w:lineRule="exact"/>
              <w:ind w:firstLine="420" w:firstLineChars="200"/>
              <w:rPr>
                <w:rFonts w:hint="eastAsia" w:ascii="宋体" w:hAnsi="宋体"/>
                <w:color w:val="auto"/>
                <w:kern w:val="0"/>
                <w:szCs w:val="21"/>
              </w:rPr>
            </w:pPr>
            <w:r>
              <w:rPr>
                <w:rFonts w:hint="eastAsia" w:ascii="宋体" w:hAnsi="宋体"/>
                <w:color w:val="auto"/>
                <w:kern w:val="0"/>
                <w:szCs w:val="21"/>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snapToGrid w:val="0"/>
              <w:spacing w:line="420" w:lineRule="exact"/>
              <w:ind w:firstLine="420" w:firstLineChars="200"/>
              <w:rPr>
                <w:rFonts w:hint="eastAsia" w:ascii="宋体" w:hAnsi="宋体"/>
                <w:color w:val="auto"/>
                <w:kern w:val="0"/>
                <w:szCs w:val="21"/>
              </w:rPr>
            </w:pPr>
            <w:r>
              <w:rPr>
                <w:rFonts w:hint="eastAsia" w:ascii="宋体" w:hAnsi="宋体"/>
                <w:color w:val="auto"/>
                <w:kern w:val="0"/>
                <w:szCs w:val="21"/>
              </w:rPr>
              <w:t>备注：当中标人或拟中标人未按时提交低价风险担保，且属于可以延长低价风险担保提交期限的特殊情形时，经招标人同意，可适当延长低价风险担保的提交期限。</w:t>
            </w:r>
          </w:p>
          <w:p>
            <w:pPr>
              <w:snapToGrid w:val="0"/>
              <w:spacing w:line="420" w:lineRule="exact"/>
              <w:ind w:firstLine="420" w:firstLineChars="200"/>
              <w:rPr>
                <w:rFonts w:hint="eastAsia" w:ascii="宋体" w:hAnsi="宋体"/>
                <w:color w:val="auto"/>
                <w:kern w:val="0"/>
                <w:szCs w:val="21"/>
              </w:rPr>
            </w:pPr>
            <w:r>
              <w:rPr>
                <w:rFonts w:hint="eastAsia" w:ascii="宋体" w:hAnsi="宋体"/>
                <w:color w:val="auto"/>
                <w:kern w:val="0"/>
                <w:szCs w:val="21"/>
              </w:rPr>
              <w:t>5、投标总报价低于最高限价 8</w:t>
            </w:r>
            <w:r>
              <w:rPr>
                <w:rFonts w:hint="eastAsia" w:ascii="宋体" w:hAnsi="宋体"/>
                <w:color w:val="auto"/>
                <w:kern w:val="0"/>
                <w:szCs w:val="21"/>
                <w:lang w:val="en-US" w:eastAsia="zh-CN"/>
              </w:rPr>
              <w:t>0</w:t>
            </w:r>
            <w:r>
              <w:rPr>
                <w:rFonts w:hint="eastAsia" w:ascii="宋体" w:hAnsi="宋体"/>
                <w:color w:val="auto"/>
                <w:kern w:val="0"/>
                <w:szCs w:val="21"/>
              </w:rPr>
              <w:t>%的，投标人应在编制投标文件时，在投标函部分中递交低价风险担保提交承诺书。承诺书格式详见第</w:t>
            </w:r>
            <w:r>
              <w:rPr>
                <w:rFonts w:hint="eastAsia" w:ascii="宋体" w:hAnsi="宋体"/>
                <w:color w:val="auto"/>
                <w:kern w:val="0"/>
                <w:szCs w:val="21"/>
                <w:lang w:val="en-US" w:eastAsia="zh-CN"/>
              </w:rPr>
              <w:t>七</w:t>
            </w:r>
            <w:r>
              <w:rPr>
                <w:rFonts w:hint="eastAsia" w:ascii="宋体" w:hAnsi="宋体"/>
                <w:color w:val="auto"/>
                <w:kern w:val="0"/>
                <w:szCs w:val="21"/>
              </w:rPr>
              <w:t>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hint="eastAsia" w:ascii="宋体" w:hAnsi="宋体" w:eastAsia="宋体"/>
                <w:color w:val="auto"/>
                <w:kern w:val="0"/>
                <w:szCs w:val="21"/>
                <w:lang w:eastAsia="zh-CN"/>
              </w:rPr>
            </w:pPr>
            <w:r>
              <w:rPr>
                <w:rFonts w:hint="eastAsia" w:ascii="宋体" w:hAnsi="宋体"/>
                <w:color w:val="auto"/>
                <w:kern w:val="0"/>
                <w:szCs w:val="21"/>
              </w:rPr>
              <w:t>10.</w:t>
            </w:r>
            <w:r>
              <w:rPr>
                <w:rFonts w:hint="eastAsia" w:ascii="宋体" w:hAnsi="宋体"/>
                <w:color w:val="auto"/>
                <w:kern w:val="0"/>
                <w:szCs w:val="21"/>
                <w:lang w:val="en-US" w:eastAsia="zh-CN"/>
              </w:rPr>
              <w:t>3</w:t>
            </w:r>
          </w:p>
        </w:tc>
        <w:tc>
          <w:tcPr>
            <w:tcW w:w="1560" w:type="dxa"/>
            <w:vAlign w:val="center"/>
          </w:tcPr>
          <w:p>
            <w:pPr>
              <w:snapToGrid w:val="0"/>
              <w:spacing w:line="420" w:lineRule="exact"/>
              <w:jc w:val="center"/>
              <w:rPr>
                <w:rFonts w:hint="eastAsia" w:ascii="宋体" w:hAnsi="宋体"/>
                <w:color w:val="auto"/>
                <w:kern w:val="0"/>
                <w:szCs w:val="21"/>
              </w:rPr>
            </w:pPr>
            <w:r>
              <w:rPr>
                <w:rFonts w:hint="eastAsia" w:ascii="宋体" w:hAnsi="宋体"/>
                <w:color w:val="auto"/>
                <w:kern w:val="0"/>
                <w:szCs w:val="21"/>
              </w:rPr>
              <w:t>结算原则</w:t>
            </w:r>
          </w:p>
        </w:tc>
        <w:tc>
          <w:tcPr>
            <w:tcW w:w="678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1、本工程工程量按实结算。实际工程量以</w:t>
            </w:r>
            <w:r>
              <w:rPr>
                <w:rFonts w:hint="eastAsia" w:ascii="宋体" w:hAnsi="宋体" w:cs="宋体"/>
                <w:color w:val="auto"/>
                <w:kern w:val="0"/>
                <w:sz w:val="21"/>
                <w:szCs w:val="21"/>
                <w:u w:val="none"/>
                <w:lang w:val="en-US" w:eastAsia="zh-CN"/>
              </w:rPr>
              <w:t>中标人</w:t>
            </w:r>
            <w:r>
              <w:rPr>
                <w:rFonts w:hint="eastAsia" w:ascii="宋体" w:hAnsi="宋体" w:eastAsia="宋体" w:cs="宋体"/>
                <w:color w:val="auto"/>
                <w:kern w:val="0"/>
                <w:sz w:val="21"/>
                <w:szCs w:val="21"/>
                <w:u w:val="none"/>
                <w:lang w:val="en-US" w:eastAsia="zh-CN"/>
              </w:rPr>
              <w:t>实际完成且经</w:t>
            </w:r>
            <w:r>
              <w:rPr>
                <w:rFonts w:hint="eastAsia" w:ascii="宋体" w:hAnsi="宋体" w:cs="宋体"/>
                <w:color w:val="auto"/>
                <w:kern w:val="0"/>
                <w:sz w:val="21"/>
                <w:szCs w:val="21"/>
                <w:u w:val="none"/>
                <w:lang w:val="en-US" w:eastAsia="zh-CN"/>
              </w:rPr>
              <w:t>招标人</w:t>
            </w:r>
            <w:r>
              <w:rPr>
                <w:rFonts w:hint="eastAsia" w:ascii="宋体" w:hAnsi="宋体" w:eastAsia="宋体" w:cs="宋体"/>
                <w:color w:val="auto"/>
                <w:kern w:val="0"/>
                <w:sz w:val="21"/>
                <w:szCs w:val="21"/>
                <w:u w:val="none"/>
                <w:lang w:val="en-US" w:eastAsia="zh-CN"/>
              </w:rPr>
              <w:t>认可合格的工程量，工程量按施工图结合现场收方签证资料、设计变更及工程量变更计算。</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计量原则：按《建设工程工程量清单计价规范》（GB50500-2013）、《房屋建筑与装饰工程工程量计算规范》（GB50854-2013）、《通用安装工程工程量计算规范》（GB50856-2013）、《重庆市建设工程工程量清单计价规则》（CQJJGZ-2013）、《重庆市建设工程工程量计算规则》（CQJLGZ-2013）等规定的计算规则及第五章“工程量清单”规定的计算规则计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w:t>
            </w:r>
            <w:r>
              <w:rPr>
                <w:rFonts w:hint="eastAsia" w:ascii="宋体" w:hAnsi="宋体" w:cs="宋体"/>
                <w:color w:val="auto"/>
                <w:kern w:val="0"/>
                <w:sz w:val="21"/>
                <w:szCs w:val="21"/>
                <w:u w:val="none"/>
                <w:lang w:val="en-US" w:eastAsia="zh-CN"/>
              </w:rPr>
              <w:t>招标人</w:t>
            </w:r>
            <w:r>
              <w:rPr>
                <w:rFonts w:hint="eastAsia" w:ascii="宋体" w:hAnsi="宋体" w:eastAsia="宋体" w:cs="宋体"/>
                <w:color w:val="auto"/>
                <w:kern w:val="0"/>
                <w:sz w:val="21"/>
                <w:szCs w:val="21"/>
                <w:u w:val="none"/>
                <w:lang w:val="en-US" w:eastAsia="zh-CN"/>
              </w:rPr>
              <w:t>有权进行工程变更、调整或者增减工程内容及工程量，</w:t>
            </w:r>
            <w:r>
              <w:rPr>
                <w:rFonts w:hint="eastAsia" w:ascii="宋体" w:hAnsi="宋体" w:cs="宋体"/>
                <w:color w:val="auto"/>
                <w:kern w:val="0"/>
                <w:sz w:val="21"/>
                <w:szCs w:val="21"/>
                <w:u w:val="none"/>
                <w:lang w:val="en-US" w:eastAsia="zh-CN"/>
              </w:rPr>
              <w:t>中标人</w:t>
            </w:r>
            <w:r>
              <w:rPr>
                <w:rFonts w:hint="eastAsia" w:ascii="宋体" w:hAnsi="宋体" w:eastAsia="宋体" w:cs="宋体"/>
                <w:color w:val="auto"/>
                <w:kern w:val="0"/>
                <w:sz w:val="21"/>
                <w:szCs w:val="21"/>
                <w:u w:val="none"/>
                <w:lang w:val="en-US" w:eastAsia="zh-CN"/>
              </w:rPr>
              <w:t>必须无条件接受并严格自行，按照实际完成的合格工程内容及工程量进行结算，</w:t>
            </w:r>
            <w:r>
              <w:rPr>
                <w:rFonts w:hint="eastAsia" w:ascii="宋体" w:hAnsi="宋体" w:cs="宋体"/>
                <w:color w:val="auto"/>
                <w:kern w:val="0"/>
                <w:sz w:val="21"/>
                <w:szCs w:val="21"/>
                <w:u w:val="none"/>
                <w:lang w:val="en-US" w:eastAsia="zh-CN"/>
              </w:rPr>
              <w:t>中标人</w:t>
            </w:r>
            <w:r>
              <w:rPr>
                <w:rFonts w:hint="eastAsia" w:ascii="宋体" w:hAnsi="宋体" w:eastAsia="宋体" w:cs="宋体"/>
                <w:color w:val="auto"/>
                <w:kern w:val="0"/>
                <w:sz w:val="21"/>
                <w:szCs w:val="21"/>
                <w:u w:val="none"/>
                <w:lang w:val="en-US" w:eastAsia="zh-CN"/>
              </w:rPr>
              <w:t>不得以工程变更、调整或者增减工程内容及工程量主张任何索赔或补偿，如不接受，</w:t>
            </w:r>
            <w:r>
              <w:rPr>
                <w:rFonts w:hint="eastAsia" w:ascii="宋体" w:hAnsi="宋体" w:cs="宋体"/>
                <w:color w:val="auto"/>
                <w:kern w:val="0"/>
                <w:sz w:val="21"/>
                <w:szCs w:val="21"/>
                <w:u w:val="none"/>
                <w:lang w:val="en-US" w:eastAsia="zh-CN"/>
              </w:rPr>
              <w:t>招标人</w:t>
            </w:r>
            <w:r>
              <w:rPr>
                <w:rFonts w:hint="eastAsia" w:ascii="宋体" w:hAnsi="宋体" w:eastAsia="宋体" w:cs="宋体"/>
                <w:color w:val="auto"/>
                <w:kern w:val="0"/>
                <w:sz w:val="21"/>
                <w:szCs w:val="21"/>
                <w:u w:val="none"/>
                <w:lang w:val="en-US" w:eastAsia="zh-CN"/>
              </w:rPr>
              <w:t>有权提前解约，同时没收</w:t>
            </w:r>
            <w:r>
              <w:rPr>
                <w:rFonts w:hint="eastAsia" w:ascii="宋体" w:hAnsi="宋体" w:cs="宋体"/>
                <w:color w:val="auto"/>
                <w:kern w:val="0"/>
                <w:sz w:val="21"/>
                <w:szCs w:val="21"/>
                <w:u w:val="none"/>
                <w:lang w:val="en-US" w:eastAsia="zh-CN"/>
              </w:rPr>
              <w:t>中标人</w:t>
            </w:r>
            <w:r>
              <w:rPr>
                <w:rFonts w:hint="eastAsia" w:ascii="宋体" w:hAnsi="宋体" w:eastAsia="宋体" w:cs="宋体"/>
                <w:color w:val="auto"/>
                <w:kern w:val="0"/>
                <w:sz w:val="21"/>
                <w:szCs w:val="21"/>
                <w:u w:val="none"/>
                <w:lang w:val="en-US" w:eastAsia="zh-CN"/>
              </w:rPr>
              <w:t>的履约保证金，并要求退场。</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szCs w:val="21"/>
              </w:rPr>
            </w:pPr>
            <w:r>
              <w:rPr>
                <w:rFonts w:hint="eastAsia" w:ascii="宋体" w:hAnsi="宋体" w:eastAsia="宋体" w:cs="宋体"/>
                <w:color w:val="auto"/>
                <w:kern w:val="0"/>
                <w:sz w:val="21"/>
                <w:szCs w:val="21"/>
                <w:u w:val="none"/>
                <w:lang w:val="en-US" w:eastAsia="zh-CN"/>
              </w:rPr>
              <w:t>4、 结算原则：合同竣工（完工）结算价=合同全费用固定综合单价×实际完成的合格工程量±∑变更、索赔与现场签证结算价±∑奖励、罚金、违约金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10.4</w:t>
            </w:r>
          </w:p>
        </w:tc>
        <w:tc>
          <w:tcPr>
            <w:tcW w:w="1560" w:type="dxa"/>
            <w:vAlign w:val="center"/>
          </w:tcPr>
          <w:p>
            <w:pPr>
              <w:snapToGrid w:val="0"/>
              <w:spacing w:line="42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其他</w:t>
            </w:r>
          </w:p>
        </w:tc>
        <w:tc>
          <w:tcPr>
            <w:tcW w:w="6785" w:type="dxa"/>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hint="default" w:eastAsia="宋体"/>
                <w:color w:val="auto"/>
                <w:u w:val="none"/>
                <w:lang w:val="en-US" w:eastAsia="zh-CN"/>
              </w:rPr>
            </w:pPr>
            <w:r>
              <w:rPr>
                <w:rFonts w:hint="eastAsia"/>
                <w:color w:val="auto"/>
                <w:u w:val="none"/>
                <w:lang w:val="en-US" w:eastAsia="zh-CN"/>
              </w:rPr>
              <w:t>1、</w:t>
            </w:r>
            <w:r>
              <w:rPr>
                <w:rFonts w:hint="default"/>
                <w:color w:val="auto"/>
                <w:u w:val="none"/>
              </w:rPr>
              <w:t>由于本项目</w:t>
            </w:r>
            <w:r>
              <w:rPr>
                <w:rFonts w:hint="default"/>
                <w:color w:val="auto"/>
                <w:u w:val="none"/>
                <w:lang w:val="en-US" w:eastAsia="zh-CN"/>
              </w:rPr>
              <w:t>施工范围</w:t>
            </w:r>
            <w:r>
              <w:rPr>
                <w:rFonts w:hint="default"/>
                <w:color w:val="auto"/>
                <w:u w:val="none"/>
              </w:rPr>
              <w:t>为</w:t>
            </w:r>
            <w:r>
              <w:rPr>
                <w:rFonts w:hint="default"/>
                <w:color w:val="auto"/>
                <w:u w:val="none"/>
                <w:lang w:val="en-US" w:eastAsia="zh-CN"/>
              </w:rPr>
              <w:t>学生实训基地楼吊一层、一层、二层、三层局部区域</w:t>
            </w:r>
            <w:r>
              <w:rPr>
                <w:rFonts w:hint="default"/>
                <w:color w:val="auto"/>
                <w:u w:val="none"/>
              </w:rPr>
              <w:t>，周边区域</w:t>
            </w:r>
            <w:r>
              <w:rPr>
                <w:rFonts w:hint="eastAsia"/>
                <w:color w:val="auto"/>
                <w:u w:val="none"/>
                <w:lang w:eastAsia="zh-CN"/>
              </w:rPr>
              <w:t>为学校已投入使用的教室、公区及校区道路</w:t>
            </w:r>
            <w:r>
              <w:rPr>
                <w:rFonts w:hint="default"/>
                <w:color w:val="auto"/>
                <w:u w:val="none"/>
              </w:rPr>
              <w:t>，现场情况错综复杂，项目安全</w:t>
            </w:r>
            <w:r>
              <w:rPr>
                <w:rFonts w:hint="eastAsia"/>
                <w:color w:val="auto"/>
                <w:u w:val="none"/>
                <w:lang w:eastAsia="zh-CN"/>
              </w:rPr>
              <w:t>防疫</w:t>
            </w:r>
            <w:r>
              <w:rPr>
                <w:rFonts w:hint="default"/>
                <w:color w:val="auto"/>
                <w:u w:val="none"/>
              </w:rPr>
              <w:t>管理严格、技术质量要求高、工期进度要求紧凑，</w:t>
            </w:r>
            <w:r>
              <w:rPr>
                <w:rFonts w:hint="eastAsia"/>
                <w:color w:val="auto"/>
                <w:u w:val="none"/>
                <w:lang w:eastAsia="zh-CN"/>
              </w:rPr>
              <w:t>并需按照学校的要求在开课期间</w:t>
            </w:r>
            <w:r>
              <w:rPr>
                <w:rFonts w:hint="eastAsia"/>
                <w:color w:val="auto"/>
                <w:u w:val="none"/>
                <w:lang w:val="en-US" w:eastAsia="zh-CN"/>
              </w:rPr>
              <w:t>8:00-17:00时保证现场静音施工（学生上课考试期间），</w:t>
            </w:r>
            <w:r>
              <w:rPr>
                <w:rFonts w:hint="default"/>
                <w:color w:val="auto"/>
                <w:u w:val="none"/>
              </w:rPr>
              <w:t>所有国家法定节假日</w:t>
            </w:r>
            <w:r>
              <w:rPr>
                <w:rFonts w:hint="eastAsia"/>
                <w:color w:val="auto"/>
                <w:u w:val="none"/>
                <w:lang w:eastAsia="zh-CN"/>
              </w:rPr>
              <w:t>及学校放假期间需</w:t>
            </w:r>
            <w:r>
              <w:rPr>
                <w:rFonts w:hint="default"/>
                <w:color w:val="auto"/>
                <w:u w:val="none"/>
              </w:rPr>
              <w:t>按照</w:t>
            </w:r>
            <w:r>
              <w:rPr>
                <w:rFonts w:hint="eastAsia"/>
                <w:color w:val="auto"/>
                <w:u w:val="none"/>
                <w:lang w:val="en-US" w:eastAsia="zh-CN"/>
              </w:rPr>
              <w:t>招标人</w:t>
            </w:r>
            <w:r>
              <w:rPr>
                <w:rFonts w:hint="default"/>
                <w:color w:val="auto"/>
                <w:u w:val="none"/>
              </w:rPr>
              <w:t>、</w:t>
            </w:r>
            <w:r>
              <w:rPr>
                <w:rFonts w:hint="default"/>
                <w:color w:val="auto"/>
                <w:u w:val="none"/>
                <w:lang w:val="en-US" w:eastAsia="zh-CN"/>
              </w:rPr>
              <w:t>重庆建筑职业学院校方等</w:t>
            </w:r>
            <w:r>
              <w:rPr>
                <w:rFonts w:hint="default"/>
                <w:color w:val="auto"/>
                <w:u w:val="none"/>
              </w:rPr>
              <w:t>的要求</w:t>
            </w:r>
            <w:r>
              <w:rPr>
                <w:rFonts w:hint="eastAsia"/>
                <w:color w:val="auto"/>
                <w:u w:val="none"/>
                <w:lang w:eastAsia="zh-CN"/>
              </w:rPr>
              <w:t>组织施工</w:t>
            </w:r>
            <w:r>
              <w:rPr>
                <w:rFonts w:hint="default"/>
                <w:color w:val="auto"/>
                <w:u w:val="none"/>
              </w:rPr>
              <w:t>，</w:t>
            </w:r>
            <w:r>
              <w:rPr>
                <w:rFonts w:hint="eastAsia"/>
                <w:color w:val="auto"/>
                <w:u w:val="none"/>
                <w:lang w:eastAsia="zh-CN"/>
              </w:rPr>
              <w:t>不排除</w:t>
            </w:r>
            <w:r>
              <w:rPr>
                <w:rFonts w:hint="default"/>
                <w:color w:val="auto"/>
                <w:u w:val="none"/>
                <w:lang w:val="en-US" w:eastAsia="zh-CN"/>
              </w:rPr>
              <w:t>校方</w:t>
            </w:r>
            <w:r>
              <w:rPr>
                <w:rFonts w:hint="eastAsia"/>
                <w:color w:val="auto"/>
                <w:u w:val="none"/>
                <w:lang w:val="en-US" w:eastAsia="zh-CN"/>
              </w:rPr>
              <w:t>及招标人</w:t>
            </w:r>
            <w:r>
              <w:rPr>
                <w:rFonts w:hint="default"/>
                <w:color w:val="auto"/>
                <w:u w:val="none"/>
                <w:lang w:val="en-US" w:eastAsia="zh-CN"/>
              </w:rPr>
              <w:t>要求</w:t>
            </w:r>
            <w:r>
              <w:rPr>
                <w:rFonts w:hint="eastAsia"/>
                <w:color w:val="auto"/>
                <w:u w:val="none"/>
                <w:lang w:eastAsia="zh-CN"/>
              </w:rPr>
              <w:t>的</w:t>
            </w:r>
            <w:r>
              <w:rPr>
                <w:rFonts w:hint="default"/>
                <w:color w:val="auto"/>
                <w:u w:val="none"/>
              </w:rPr>
              <w:t>政策性停工，</w:t>
            </w:r>
            <w:r>
              <w:rPr>
                <w:rFonts w:hint="eastAsia"/>
                <w:color w:val="auto"/>
                <w:u w:val="none"/>
                <w:lang w:val="en-US" w:eastAsia="zh-CN"/>
              </w:rPr>
              <w:t>投标人须</w:t>
            </w:r>
            <w:r>
              <w:rPr>
                <w:rFonts w:hint="eastAsia"/>
                <w:color w:val="auto"/>
                <w:u w:val="none"/>
                <w:lang w:eastAsia="zh-CN"/>
              </w:rPr>
              <w:t>在已知晓上述情况的前提下</w:t>
            </w:r>
            <w:r>
              <w:rPr>
                <w:rFonts w:hint="eastAsia"/>
                <w:color w:val="auto"/>
                <w:u w:val="none"/>
                <w:lang w:val="en-US" w:eastAsia="zh-CN"/>
              </w:rPr>
              <w:t>开展投标工作</w:t>
            </w:r>
            <w:r>
              <w:rPr>
                <w:rFonts w:hint="eastAsia"/>
                <w:color w:val="auto"/>
                <w:u w:val="none"/>
                <w:lang w:eastAsia="zh-CN"/>
              </w:rPr>
              <w:t>，后续组织施工及项目结算过程中不能以上诉原因作为工期</w:t>
            </w:r>
            <w:r>
              <w:rPr>
                <w:rFonts w:hint="eastAsia"/>
                <w:color w:val="auto"/>
                <w:u w:val="none"/>
                <w:lang w:val="en-US" w:eastAsia="zh-CN"/>
              </w:rPr>
              <w:t>顺延、</w:t>
            </w:r>
            <w:r>
              <w:rPr>
                <w:rFonts w:hint="eastAsia"/>
                <w:color w:val="auto"/>
                <w:u w:val="none"/>
                <w:lang w:eastAsia="zh-CN"/>
              </w:rPr>
              <w:t>费用调整</w:t>
            </w:r>
            <w:r>
              <w:rPr>
                <w:rFonts w:hint="eastAsia"/>
                <w:color w:val="auto"/>
                <w:u w:val="none"/>
                <w:lang w:val="en-US" w:eastAsia="zh-CN"/>
              </w:rPr>
              <w:t>和主张补偿及索赔</w:t>
            </w:r>
            <w:r>
              <w:rPr>
                <w:rFonts w:hint="eastAsia"/>
                <w:color w:val="auto"/>
                <w:u w:val="none"/>
                <w:lang w:eastAsia="zh-CN"/>
              </w:rPr>
              <w:t>的依据。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hint="default" w:ascii="宋体" w:hAnsi="宋体"/>
                <w:color w:val="auto"/>
                <w:kern w:val="0"/>
                <w:szCs w:val="21"/>
                <w:u w:val="none"/>
                <w:lang w:val="en-US" w:eastAsia="zh-CN"/>
              </w:rPr>
            </w:pPr>
            <w:r>
              <w:rPr>
                <w:rFonts w:hint="eastAsia" w:ascii="宋体" w:hAnsi="宋体"/>
                <w:color w:val="auto"/>
                <w:kern w:val="0"/>
                <w:szCs w:val="21"/>
                <w:u w:val="none"/>
                <w:lang w:val="en-US" w:eastAsia="zh-CN"/>
              </w:rPr>
              <w:t>10.5</w:t>
            </w:r>
          </w:p>
        </w:tc>
        <w:tc>
          <w:tcPr>
            <w:tcW w:w="1560" w:type="dxa"/>
            <w:vAlign w:val="center"/>
          </w:tcPr>
          <w:p>
            <w:pPr>
              <w:snapToGrid w:val="0"/>
              <w:spacing w:line="420" w:lineRule="exact"/>
              <w:jc w:val="center"/>
              <w:rPr>
                <w:rFonts w:hint="default" w:ascii="宋体" w:hAnsi="宋体"/>
                <w:color w:val="auto"/>
                <w:kern w:val="0"/>
                <w:szCs w:val="21"/>
                <w:u w:val="none"/>
                <w:lang w:val="en-US" w:eastAsia="zh-CN"/>
              </w:rPr>
            </w:pPr>
            <w:r>
              <w:rPr>
                <w:rFonts w:hint="eastAsia" w:ascii="宋体" w:hAnsi="宋体"/>
                <w:color w:val="auto"/>
                <w:kern w:val="0"/>
                <w:szCs w:val="21"/>
                <w:u w:val="none"/>
                <w:lang w:val="en-US" w:eastAsia="zh-CN"/>
              </w:rPr>
              <w:t>人员承诺</w:t>
            </w:r>
          </w:p>
        </w:tc>
        <w:tc>
          <w:tcPr>
            <w:tcW w:w="6785" w:type="dxa"/>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hint="default"/>
                <w:color w:val="auto"/>
                <w:u w:val="none"/>
                <w:lang w:val="en-US" w:eastAsia="zh-CN"/>
              </w:rPr>
            </w:pPr>
            <w:r>
              <w:rPr>
                <w:rFonts w:hint="eastAsia"/>
                <w:color w:val="auto"/>
                <w:u w:val="none"/>
                <w:lang w:val="en-US" w:eastAsia="zh-CN"/>
              </w:rPr>
              <w:t>中标人须派遣符合相关建设手续及建设管理要求的人员到岗履职，若因派遣人员不符合相关要求造成的一切法律及经济责任由中标人自行承担。</w:t>
            </w:r>
          </w:p>
        </w:tc>
      </w:tr>
    </w:tbl>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宋体" w:hAnsi="宋体"/>
          <w:b/>
          <w:bCs w:val="0"/>
          <w:snapToGrid w:val="0"/>
          <w:color w:val="auto"/>
          <w:sz w:val="32"/>
          <w:szCs w:val="32"/>
        </w:rPr>
      </w:pPr>
      <w:r>
        <w:rPr>
          <w:rFonts w:ascii="宋体" w:hAnsi="宋体"/>
          <w:b w:val="0"/>
          <w:snapToGrid w:val="0"/>
          <w:color w:val="auto"/>
        </w:rPr>
        <w:br w:type="page"/>
      </w:r>
      <w:bookmarkStart w:id="138" w:name="_Toc19889"/>
      <w:bookmarkStart w:id="139" w:name="_Toc23949"/>
      <w:bookmarkStart w:id="140" w:name="_Toc7187"/>
      <w:bookmarkStart w:id="141" w:name="_Toc23061"/>
      <w:bookmarkStart w:id="142" w:name="_Toc95830666"/>
      <w:bookmarkStart w:id="143" w:name="_Toc3589"/>
      <w:bookmarkStart w:id="144" w:name="_Toc509218710"/>
      <w:r>
        <w:rPr>
          <w:rFonts w:ascii="宋体" w:hAnsi="宋体" w:eastAsia="宋体" w:cs="Times New Roman"/>
          <w:b/>
          <w:bCs w:val="0"/>
          <w:snapToGrid w:val="0"/>
          <w:color w:val="auto"/>
          <w:kern w:val="2"/>
          <w:sz w:val="32"/>
          <w:szCs w:val="32"/>
          <w:lang w:val="en-US" w:eastAsia="zh-CN" w:bidi="ar-SA"/>
        </w:rPr>
        <w:t>1.总则</w:t>
      </w:r>
      <w:bookmarkEnd w:id="132"/>
      <w:bookmarkEnd w:id="133"/>
      <w:bookmarkEnd w:id="134"/>
      <w:bookmarkEnd w:id="135"/>
      <w:bookmarkEnd w:id="136"/>
      <w:bookmarkEnd w:id="137"/>
      <w:bookmarkEnd w:id="138"/>
      <w:bookmarkEnd w:id="139"/>
      <w:bookmarkEnd w:id="140"/>
      <w:bookmarkEnd w:id="141"/>
      <w:bookmarkEnd w:id="142"/>
      <w:bookmarkEnd w:id="143"/>
      <w:bookmarkEnd w:id="144"/>
    </w:p>
    <w:p>
      <w:pPr>
        <w:pageBreakBefore w:val="0"/>
        <w:widowControl w:val="0"/>
        <w:kinsoku/>
        <w:overflowPunct/>
        <w:topLinePunct w:val="0"/>
        <w:bidi w:val="0"/>
        <w:snapToGrid w:val="0"/>
        <w:spacing w:before="0" w:after="0" w:line="360" w:lineRule="auto"/>
        <w:textAlignment w:val="auto"/>
        <w:outlineLvl w:val="9"/>
        <w:rPr>
          <w:rFonts w:ascii="宋体" w:hAnsi="宋体"/>
          <w:b/>
          <w:bCs w:val="0"/>
          <w:snapToGrid w:val="0"/>
          <w:color w:val="auto"/>
          <w:sz w:val="24"/>
          <w:szCs w:val="24"/>
        </w:rPr>
      </w:pPr>
      <w:bookmarkStart w:id="145" w:name="_Toc95830445"/>
      <w:bookmarkStart w:id="146" w:name="_Toc509218711"/>
      <w:bookmarkStart w:id="147" w:name="_Toc200513127"/>
      <w:bookmarkStart w:id="148" w:name="_Toc287620686"/>
      <w:bookmarkStart w:id="149" w:name="_Toc277082553"/>
      <w:bookmarkStart w:id="150" w:name="_Toc224103318"/>
      <w:bookmarkStart w:id="151" w:name="_Toc95830559"/>
      <w:bookmarkStart w:id="152" w:name="_Toc11040"/>
      <w:bookmarkStart w:id="153" w:name="_Toc95830667"/>
      <w:bookmarkStart w:id="154" w:name="_Toc287607747"/>
      <w:bookmarkStart w:id="155" w:name="_Toc430530436"/>
      <w:r>
        <w:rPr>
          <w:rFonts w:ascii="宋体" w:hAnsi="宋体"/>
          <w:b/>
          <w:bCs w:val="0"/>
          <w:snapToGrid w:val="0"/>
          <w:color w:val="auto"/>
          <w:sz w:val="24"/>
          <w:szCs w:val="24"/>
        </w:rPr>
        <w:t>1.1 项目概况</w:t>
      </w:r>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u w:val="none"/>
        </w:rPr>
      </w:pPr>
      <w:r>
        <w:rPr>
          <w:rFonts w:ascii="宋体" w:hAnsi="宋体"/>
          <w:snapToGrid w:val="0"/>
          <w:color w:val="auto"/>
          <w:kern w:val="0"/>
          <w:szCs w:val="21"/>
          <w:u w:val="none"/>
        </w:rPr>
        <w:t>1.1.1 根据有关规定，本招标项目已具备招标条件，</w:t>
      </w:r>
      <w:r>
        <w:rPr>
          <w:rFonts w:hint="eastAsia" w:ascii="宋体" w:hAnsi="宋体"/>
          <w:color w:val="auto"/>
          <w:szCs w:val="21"/>
          <w:u w:val="none"/>
        </w:rPr>
        <w:t>现对该项目进行招标。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u w:val="none"/>
        </w:rPr>
      </w:pPr>
      <w:r>
        <w:rPr>
          <w:rFonts w:ascii="宋体" w:hAnsi="宋体"/>
          <w:snapToGrid w:val="0"/>
          <w:color w:val="auto"/>
          <w:kern w:val="0"/>
          <w:szCs w:val="21"/>
          <w:u w:val="none"/>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snapToGrid w:val="0"/>
          <w:color w:val="auto"/>
          <w:kern w:val="0"/>
          <w:szCs w:val="21"/>
          <w:u w:val="none"/>
          <w:lang w:val="en-US" w:eastAsia="zh-CN"/>
        </w:rPr>
      </w:pPr>
      <w:r>
        <w:rPr>
          <w:rFonts w:hint="eastAsia" w:ascii="宋体" w:hAnsi="宋体"/>
          <w:snapToGrid w:val="0"/>
          <w:color w:val="auto"/>
          <w:kern w:val="0"/>
          <w:szCs w:val="21"/>
          <w:u w:val="none"/>
          <w:lang w:val="en-US" w:eastAsia="zh-CN"/>
        </w:rPr>
        <w:t>1.1.3 招标代理机构：无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u w:val="none"/>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1.1.5 </w:t>
      </w:r>
      <w:r>
        <w:rPr>
          <w:rFonts w:hint="eastAsia" w:ascii="宋体" w:hAnsi="宋体"/>
          <w:snapToGrid w:val="0"/>
          <w:color w:val="auto"/>
          <w:kern w:val="0"/>
          <w:szCs w:val="21"/>
        </w:rPr>
        <w:t>项目</w:t>
      </w:r>
      <w:r>
        <w:rPr>
          <w:rFonts w:ascii="宋体" w:hAnsi="宋体"/>
          <w:snapToGrid w:val="0"/>
          <w:color w:val="auto"/>
          <w:kern w:val="0"/>
          <w:szCs w:val="21"/>
        </w:rPr>
        <w:t>建设地点：见投标人须知前附表。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1.1.6 </w:t>
      </w:r>
      <w:r>
        <w:rPr>
          <w:rFonts w:hint="eastAsia" w:ascii="宋体" w:hAnsi="宋体"/>
          <w:snapToGrid w:val="0"/>
          <w:color w:val="auto"/>
          <w:kern w:val="0"/>
          <w:szCs w:val="21"/>
        </w:rPr>
        <w:t>项目</w:t>
      </w:r>
      <w:r>
        <w:rPr>
          <w:rFonts w:ascii="宋体" w:hAnsi="宋体"/>
          <w:snapToGrid w:val="0"/>
          <w:color w:val="auto"/>
          <w:kern w:val="0"/>
          <w:szCs w:val="21"/>
        </w:rPr>
        <w:t>建设规模：见投标人须知前附表。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156" w:name="_Toc287607748"/>
      <w:bookmarkStart w:id="157" w:name="_Toc95830446"/>
      <w:bookmarkStart w:id="158" w:name="_Toc277082554"/>
      <w:bookmarkStart w:id="159" w:name="_Toc25797"/>
      <w:bookmarkStart w:id="160" w:name="_Toc95830560"/>
      <w:bookmarkStart w:id="161" w:name="_Toc430530437"/>
      <w:bookmarkStart w:id="162" w:name="_Toc509218712"/>
      <w:bookmarkStart w:id="163" w:name="_Toc287620687"/>
      <w:bookmarkStart w:id="164" w:name="_Toc200513128"/>
      <w:bookmarkStart w:id="165" w:name="_Toc95830668"/>
      <w:bookmarkStart w:id="166" w:name="_Toc224103319"/>
      <w:r>
        <w:rPr>
          <w:rFonts w:ascii="宋体" w:hAnsi="宋体" w:eastAsia="宋体" w:cs="Times New Roman"/>
          <w:b/>
          <w:bCs w:val="0"/>
          <w:snapToGrid w:val="0"/>
          <w:color w:val="auto"/>
          <w:sz w:val="24"/>
          <w:szCs w:val="24"/>
        </w:rPr>
        <w:t xml:space="preserve">1.2 </w:t>
      </w:r>
      <w:r>
        <w:rPr>
          <w:rFonts w:hint="eastAsia" w:ascii="宋体" w:hAnsi="宋体" w:eastAsia="宋体" w:cs="Times New Roman"/>
          <w:b/>
          <w:bCs w:val="0"/>
          <w:snapToGrid w:val="0"/>
          <w:color w:val="auto"/>
          <w:sz w:val="24"/>
          <w:szCs w:val="24"/>
        </w:rPr>
        <w:t>项目的</w:t>
      </w:r>
      <w:r>
        <w:rPr>
          <w:rFonts w:ascii="宋体" w:hAnsi="宋体" w:eastAsia="宋体" w:cs="Times New Roman"/>
          <w:b/>
          <w:bCs w:val="0"/>
          <w:snapToGrid w:val="0"/>
          <w:color w:val="auto"/>
          <w:sz w:val="24"/>
          <w:szCs w:val="24"/>
        </w:rPr>
        <w:t>资金来源和落实情况</w:t>
      </w:r>
      <w:bookmarkEnd w:id="156"/>
      <w:bookmarkEnd w:id="157"/>
      <w:bookmarkEnd w:id="158"/>
      <w:bookmarkEnd w:id="159"/>
      <w:bookmarkEnd w:id="160"/>
      <w:bookmarkEnd w:id="161"/>
      <w:bookmarkEnd w:id="162"/>
      <w:bookmarkEnd w:id="163"/>
      <w:bookmarkEnd w:id="164"/>
      <w:bookmarkEnd w:id="165"/>
      <w:bookmarkEnd w:id="166"/>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1.2.1 资金来源：见投标人须知前附表。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1.2.2 出资比例：见投标人须知前附表。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1.2.3 资金落实情况：见投标人须知前附表。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167" w:name="_Toc277082555"/>
      <w:bookmarkStart w:id="168" w:name="_Toc287620688"/>
      <w:bookmarkStart w:id="169" w:name="_Toc509218713"/>
      <w:bookmarkStart w:id="170" w:name="_Toc200513129"/>
      <w:bookmarkStart w:id="171" w:name="_Toc430530438"/>
      <w:bookmarkStart w:id="172" w:name="_Toc287607749"/>
      <w:bookmarkStart w:id="173" w:name="_Toc95830561"/>
      <w:bookmarkStart w:id="174" w:name="_Toc95830669"/>
      <w:bookmarkStart w:id="175" w:name="_Toc224103320"/>
      <w:bookmarkStart w:id="176" w:name="_Toc95830447"/>
      <w:bookmarkStart w:id="177" w:name="_Toc12590"/>
      <w:r>
        <w:rPr>
          <w:rFonts w:ascii="宋体" w:hAnsi="宋体" w:eastAsia="宋体" w:cs="Times New Roman"/>
          <w:b/>
          <w:bCs w:val="0"/>
          <w:snapToGrid w:val="0"/>
          <w:color w:val="auto"/>
          <w:sz w:val="24"/>
          <w:szCs w:val="24"/>
        </w:rPr>
        <w:t>1.3 招标范围、计划工期和质量标准</w:t>
      </w:r>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1.3.1 招标范围：见投标人须知前附表。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1.3.2 计划工期：见投标人须知前附表。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1.3.3 质量</w:t>
      </w:r>
      <w:r>
        <w:rPr>
          <w:rFonts w:hint="eastAsia" w:ascii="宋体" w:hAnsi="宋体"/>
          <w:snapToGrid w:val="0"/>
          <w:color w:val="auto"/>
          <w:kern w:val="0"/>
          <w:szCs w:val="21"/>
        </w:rPr>
        <w:t>标准</w:t>
      </w:r>
      <w:r>
        <w:rPr>
          <w:rFonts w:ascii="宋体" w:hAnsi="宋体"/>
          <w:snapToGrid w:val="0"/>
          <w:color w:val="auto"/>
          <w:kern w:val="0"/>
          <w:szCs w:val="21"/>
        </w:rPr>
        <w:t>：见投标人须知前附表。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178" w:name="_Toc287607751"/>
      <w:bookmarkStart w:id="179" w:name="_Toc95830562"/>
      <w:bookmarkStart w:id="180" w:name="_Toc224103322"/>
      <w:bookmarkStart w:id="181" w:name="_Toc32409"/>
      <w:bookmarkStart w:id="182" w:name="_Toc277082557"/>
      <w:bookmarkStart w:id="183" w:name="_Toc200513131"/>
      <w:bookmarkStart w:id="184" w:name="_Toc509218715"/>
      <w:bookmarkStart w:id="185" w:name="_Toc430530440"/>
      <w:bookmarkStart w:id="186" w:name="_Toc287620690"/>
      <w:bookmarkStart w:id="187" w:name="_Toc95830670"/>
      <w:bookmarkStart w:id="188" w:name="_Toc95830448"/>
      <w:r>
        <w:rPr>
          <w:rFonts w:ascii="宋体" w:hAnsi="宋体" w:eastAsia="宋体" w:cs="Times New Roman"/>
          <w:b/>
          <w:bCs w:val="0"/>
          <w:snapToGrid w:val="0"/>
          <w:color w:val="auto"/>
          <w:sz w:val="24"/>
          <w:szCs w:val="24"/>
        </w:rPr>
        <w:t>1.4 投标人资格要求（</w:t>
      </w:r>
      <w:r>
        <w:rPr>
          <w:rFonts w:hint="eastAsia" w:ascii="宋体" w:hAnsi="宋体" w:eastAsia="宋体" w:cs="Times New Roman"/>
          <w:b/>
          <w:bCs w:val="0"/>
          <w:snapToGrid w:val="0"/>
          <w:color w:val="auto"/>
          <w:sz w:val="24"/>
          <w:szCs w:val="24"/>
        </w:rPr>
        <w:t>适用于未进行资格预审的</w:t>
      </w:r>
      <w:r>
        <w:rPr>
          <w:rFonts w:ascii="宋体" w:hAnsi="宋体" w:eastAsia="宋体" w:cs="Times New Roman"/>
          <w:b/>
          <w:bCs w:val="0"/>
          <w:snapToGrid w:val="0"/>
          <w:color w:val="auto"/>
          <w:sz w:val="24"/>
          <w:szCs w:val="24"/>
        </w:rPr>
        <w:t>）</w:t>
      </w:r>
      <w:bookmarkEnd w:id="178"/>
      <w:bookmarkEnd w:id="179"/>
      <w:bookmarkEnd w:id="180"/>
      <w:bookmarkEnd w:id="181"/>
      <w:bookmarkEnd w:id="182"/>
      <w:bookmarkEnd w:id="183"/>
      <w:bookmarkEnd w:id="184"/>
      <w:bookmarkEnd w:id="185"/>
      <w:bookmarkEnd w:id="186"/>
      <w:bookmarkEnd w:id="187"/>
      <w:bookmarkEnd w:id="188"/>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1.4.1 投标人应具备承担本</w:t>
      </w:r>
      <w:r>
        <w:rPr>
          <w:rFonts w:hint="eastAsia" w:ascii="宋体" w:hAnsi="宋体"/>
          <w:snapToGrid w:val="0"/>
          <w:color w:val="auto"/>
          <w:kern w:val="0"/>
          <w:szCs w:val="21"/>
        </w:rPr>
        <w:t>招标项目</w:t>
      </w:r>
      <w:r>
        <w:rPr>
          <w:rFonts w:ascii="宋体" w:hAnsi="宋体"/>
          <w:snapToGrid w:val="0"/>
          <w:color w:val="auto"/>
          <w:kern w:val="0"/>
          <w:szCs w:val="21"/>
        </w:rPr>
        <w:t>资质条件、能力和信誉：见投标人须知前附表。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snapToGrid w:val="0"/>
          <w:color w:val="auto"/>
          <w:kern w:val="0"/>
          <w:szCs w:val="21"/>
          <w:lang w:val="en-US" w:eastAsia="zh-CN"/>
        </w:rPr>
      </w:pPr>
      <w:r>
        <w:rPr>
          <w:rFonts w:ascii="宋体" w:hAnsi="宋体"/>
          <w:snapToGrid w:val="0"/>
          <w:color w:val="auto"/>
          <w:kern w:val="0"/>
          <w:szCs w:val="21"/>
        </w:rPr>
        <w:t xml:space="preserve">1.4.2 </w:t>
      </w:r>
      <w:r>
        <w:rPr>
          <w:rFonts w:hint="eastAsia" w:ascii="宋体" w:hAnsi="宋体"/>
          <w:snapToGrid w:val="0"/>
          <w:color w:val="auto"/>
          <w:kern w:val="0"/>
          <w:szCs w:val="21"/>
          <w:lang w:val="en-US" w:eastAsia="zh-CN"/>
        </w:rPr>
        <w:t>联合体投标：见投标人须知前附表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1.4.3 投标人不得存在下列情形之一：</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（1）</w:t>
      </w:r>
      <w:r>
        <w:rPr>
          <w:rFonts w:hint="eastAsia" w:ascii="宋体" w:hAnsi="宋体"/>
          <w:color w:val="auto"/>
          <w:szCs w:val="21"/>
        </w:rPr>
        <w:t>为招标人不具有独立法人资格的附属机构（单位）；</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2</w:t>
      </w:r>
      <w:r>
        <w:rPr>
          <w:rFonts w:ascii="宋体" w:hAnsi="宋体"/>
          <w:snapToGrid w:val="0"/>
          <w:color w:val="auto"/>
          <w:kern w:val="0"/>
          <w:szCs w:val="21"/>
        </w:rPr>
        <w:t>）</w:t>
      </w:r>
      <w:r>
        <w:rPr>
          <w:rFonts w:hint="eastAsia" w:ascii="宋体" w:hAnsi="宋体"/>
          <w:color w:val="auto"/>
          <w:szCs w:val="21"/>
        </w:rPr>
        <w:t>为本招标项目的监理单位；</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3</w:t>
      </w:r>
      <w:r>
        <w:rPr>
          <w:rFonts w:ascii="宋体" w:hAnsi="宋体"/>
          <w:snapToGrid w:val="0"/>
          <w:color w:val="auto"/>
          <w:kern w:val="0"/>
          <w:szCs w:val="21"/>
        </w:rPr>
        <w:t>）</w:t>
      </w:r>
      <w:r>
        <w:rPr>
          <w:rFonts w:hint="eastAsia" w:ascii="宋体" w:hAnsi="宋体"/>
          <w:color w:val="auto"/>
          <w:szCs w:val="21"/>
        </w:rPr>
        <w:t>为本招标项目的代建单位；</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（4）为本</w:t>
      </w:r>
      <w:r>
        <w:rPr>
          <w:rFonts w:hint="eastAsia" w:ascii="宋体" w:hAnsi="宋体"/>
          <w:color w:val="auto"/>
          <w:szCs w:val="21"/>
        </w:rPr>
        <w:t>招标项目的</w:t>
      </w:r>
      <w:r>
        <w:rPr>
          <w:rFonts w:hint="eastAsia" w:ascii="宋体" w:hAnsi="宋体"/>
          <w:snapToGrid w:val="0"/>
          <w:color w:val="auto"/>
          <w:kern w:val="0"/>
          <w:szCs w:val="21"/>
        </w:rPr>
        <w:t>项目管理单位；</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（5）为本</w:t>
      </w:r>
      <w:r>
        <w:rPr>
          <w:rFonts w:hint="eastAsia" w:ascii="宋体" w:hAnsi="宋体"/>
          <w:color w:val="auto"/>
          <w:szCs w:val="21"/>
        </w:rPr>
        <w:t>招标项目的</w:t>
      </w:r>
      <w:r>
        <w:rPr>
          <w:rFonts w:hint="eastAsia" w:ascii="宋体" w:hAnsi="宋体"/>
          <w:snapToGrid w:val="0"/>
          <w:color w:val="auto"/>
          <w:kern w:val="0"/>
          <w:szCs w:val="21"/>
        </w:rPr>
        <w:t>造价咨询单位；</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）为</w:t>
      </w:r>
      <w:r>
        <w:rPr>
          <w:rFonts w:hint="eastAsia" w:ascii="宋体" w:hAnsi="宋体"/>
          <w:snapToGrid w:val="0"/>
          <w:color w:val="auto"/>
          <w:kern w:val="0"/>
          <w:szCs w:val="21"/>
        </w:rPr>
        <w:t>本</w:t>
      </w:r>
      <w:r>
        <w:rPr>
          <w:rFonts w:hint="eastAsia" w:ascii="宋体" w:hAnsi="宋体"/>
          <w:color w:val="auto"/>
          <w:szCs w:val="21"/>
        </w:rPr>
        <w:t>招标项目</w:t>
      </w:r>
      <w:r>
        <w:rPr>
          <w:rFonts w:ascii="宋体" w:hAnsi="宋体"/>
          <w:snapToGrid w:val="0"/>
          <w:color w:val="auto"/>
          <w:kern w:val="0"/>
          <w:szCs w:val="21"/>
        </w:rPr>
        <w:t>提供招标代理服务的；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（7）被责令停业的；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（8）被国家、重庆市（含市或任意区县）有关行政部门处以暂停投标资格行政处罚，且在处罚期限内的；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（9）财产被接管或冻结的；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10</w:t>
      </w:r>
      <w:r>
        <w:rPr>
          <w:rFonts w:hint="eastAsia" w:ascii="宋体" w:hAnsi="宋体"/>
          <w:snapToGrid w:val="0"/>
          <w:color w:val="auto"/>
          <w:kern w:val="0"/>
          <w:position w:val="-2"/>
          <w:szCs w:val="21"/>
        </w:rPr>
        <w:t>）与本招标项目的监理单位或代建单位或项目管理单位或造价咨询单位或招标代理机构同为一个法定代表人的；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11</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单位或项目管理单位或造价咨询单位或招标代理机构相互控股或参股的；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12</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单位或项目管理单位或造价咨询单位或招标代理机构相互任职或工作的。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（1</w:t>
      </w:r>
      <w:r>
        <w:rPr>
          <w:rFonts w:ascii="宋体" w:hAnsi="宋体"/>
          <w:snapToGrid w:val="0"/>
          <w:color w:val="auto"/>
          <w:kern w:val="0"/>
          <w:szCs w:val="21"/>
        </w:rPr>
        <w:t>3</w:t>
      </w:r>
      <w:r>
        <w:rPr>
          <w:rFonts w:hint="eastAsia" w:ascii="宋体" w:hAnsi="宋体"/>
          <w:snapToGrid w:val="0"/>
          <w:color w:val="auto"/>
          <w:kern w:val="0"/>
          <w:szCs w:val="21"/>
        </w:rPr>
        <w:t>）</w:t>
      </w:r>
      <w:r>
        <w:rPr>
          <w:rFonts w:hint="eastAsia" w:ascii="宋体" w:hAnsi="宋体"/>
          <w:color w:val="auto"/>
          <w:szCs w:val="21"/>
        </w:rPr>
        <w:t>与本招标项目其他投标人的单位负责人为同一人或者存在控股、管理关系的。</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189" w:name="_Toc95830563"/>
      <w:bookmarkStart w:id="190" w:name="_Toc25167"/>
      <w:bookmarkStart w:id="191" w:name="_Toc200513132"/>
      <w:bookmarkStart w:id="192" w:name="_Toc277082558"/>
      <w:bookmarkStart w:id="193" w:name="_Toc287620691"/>
      <w:bookmarkStart w:id="194" w:name="_Toc224103323"/>
      <w:bookmarkStart w:id="195" w:name="_Toc287607752"/>
      <w:bookmarkStart w:id="196" w:name="_Toc95830671"/>
      <w:bookmarkStart w:id="197" w:name="_Toc509218716"/>
      <w:bookmarkStart w:id="198" w:name="_Toc95830449"/>
      <w:bookmarkStart w:id="199" w:name="_Toc430530441"/>
      <w:r>
        <w:rPr>
          <w:rFonts w:ascii="宋体" w:hAnsi="宋体" w:eastAsia="宋体" w:cs="Times New Roman"/>
          <w:b/>
          <w:bCs w:val="0"/>
          <w:snapToGrid w:val="0"/>
          <w:color w:val="auto"/>
          <w:sz w:val="24"/>
          <w:szCs w:val="24"/>
        </w:rPr>
        <w:t>1.5 费用承担</w:t>
      </w:r>
      <w:bookmarkEnd w:id="189"/>
      <w:bookmarkEnd w:id="190"/>
      <w:bookmarkEnd w:id="191"/>
      <w:bookmarkEnd w:id="192"/>
      <w:bookmarkEnd w:id="193"/>
      <w:bookmarkEnd w:id="194"/>
      <w:bookmarkEnd w:id="195"/>
      <w:bookmarkEnd w:id="196"/>
      <w:bookmarkEnd w:id="197"/>
      <w:bookmarkEnd w:id="198"/>
      <w:bookmarkEnd w:id="199"/>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投标人准备和参加投标活动发生的费用自理。</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00" w:name="_Toc224103324"/>
      <w:bookmarkStart w:id="201" w:name="_Toc509218717"/>
      <w:bookmarkStart w:id="202" w:name="_Toc277082559"/>
      <w:bookmarkStart w:id="203" w:name="_Toc95830672"/>
      <w:bookmarkStart w:id="204" w:name="_Toc200513133"/>
      <w:bookmarkStart w:id="205" w:name="_Toc95830564"/>
      <w:bookmarkStart w:id="206" w:name="_Toc287607753"/>
      <w:bookmarkStart w:id="207" w:name="_Toc430530442"/>
      <w:bookmarkStart w:id="208" w:name="_Toc95830450"/>
      <w:bookmarkStart w:id="209" w:name="_Toc287620692"/>
      <w:bookmarkStart w:id="210" w:name="_Toc26488"/>
      <w:r>
        <w:rPr>
          <w:rFonts w:ascii="宋体" w:hAnsi="宋体" w:eastAsia="宋体" w:cs="Times New Roman"/>
          <w:b/>
          <w:bCs w:val="0"/>
          <w:snapToGrid w:val="0"/>
          <w:color w:val="auto"/>
          <w:sz w:val="24"/>
          <w:szCs w:val="24"/>
        </w:rPr>
        <w:t>1.6 保密</w:t>
      </w:r>
      <w:bookmarkEnd w:id="200"/>
      <w:bookmarkEnd w:id="201"/>
      <w:bookmarkEnd w:id="202"/>
      <w:bookmarkEnd w:id="203"/>
      <w:bookmarkEnd w:id="204"/>
      <w:bookmarkEnd w:id="205"/>
      <w:bookmarkEnd w:id="206"/>
      <w:bookmarkEnd w:id="207"/>
      <w:bookmarkEnd w:id="208"/>
      <w:bookmarkEnd w:id="209"/>
      <w:bookmarkEnd w:id="210"/>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参与招标投标活动的各方应对招标文件和投标文件中的商业和技术等秘密保密，</w:t>
      </w:r>
      <w:r>
        <w:rPr>
          <w:rFonts w:hint="eastAsia" w:ascii="宋体" w:hAnsi="宋体"/>
          <w:color w:val="auto"/>
          <w:szCs w:val="21"/>
        </w:rPr>
        <w:t>否则应承担相应的法律责任。</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11" w:name="_Toc509218718"/>
      <w:bookmarkStart w:id="212" w:name="_Toc224103325"/>
      <w:bookmarkStart w:id="213" w:name="_Toc95830451"/>
      <w:bookmarkStart w:id="214" w:name="_Toc95830565"/>
      <w:bookmarkStart w:id="215" w:name="_Toc430530443"/>
      <w:bookmarkStart w:id="216" w:name="_Toc287607754"/>
      <w:bookmarkStart w:id="217" w:name="_Toc287620693"/>
      <w:bookmarkStart w:id="218" w:name="_Toc95830673"/>
      <w:bookmarkStart w:id="219" w:name="_Toc200513134"/>
      <w:bookmarkStart w:id="220" w:name="_Toc277082560"/>
      <w:bookmarkStart w:id="221" w:name="_Toc19088"/>
      <w:r>
        <w:rPr>
          <w:rFonts w:ascii="宋体" w:hAnsi="宋体" w:eastAsia="宋体" w:cs="Times New Roman"/>
          <w:b/>
          <w:bCs w:val="0"/>
          <w:snapToGrid w:val="0"/>
          <w:color w:val="auto"/>
          <w:sz w:val="24"/>
          <w:szCs w:val="24"/>
        </w:rPr>
        <w:t>1.7 语言文字</w:t>
      </w:r>
      <w:bookmarkEnd w:id="211"/>
      <w:bookmarkEnd w:id="212"/>
      <w:bookmarkEnd w:id="213"/>
      <w:bookmarkEnd w:id="214"/>
      <w:bookmarkEnd w:id="215"/>
      <w:bookmarkEnd w:id="216"/>
      <w:bookmarkEnd w:id="217"/>
      <w:bookmarkEnd w:id="218"/>
      <w:bookmarkEnd w:id="219"/>
      <w:bookmarkEnd w:id="220"/>
      <w:bookmarkEnd w:id="22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招标投标文件使用的语言文字为中文。专用术语使用外文的，应附有中文注释。</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22" w:name="_Toc224103326"/>
      <w:bookmarkStart w:id="223" w:name="_Toc287607755"/>
      <w:bookmarkStart w:id="224" w:name="_Toc95830452"/>
      <w:bookmarkStart w:id="225" w:name="_Toc32577"/>
      <w:bookmarkStart w:id="226" w:name="_Toc200513135"/>
      <w:bookmarkStart w:id="227" w:name="_Toc430530444"/>
      <w:bookmarkStart w:id="228" w:name="_Toc287620694"/>
      <w:bookmarkStart w:id="229" w:name="_Toc509218719"/>
      <w:bookmarkStart w:id="230" w:name="_Toc277082561"/>
      <w:bookmarkStart w:id="231" w:name="_Toc95830566"/>
      <w:bookmarkStart w:id="232" w:name="_Toc95830674"/>
      <w:r>
        <w:rPr>
          <w:rFonts w:ascii="宋体" w:hAnsi="宋体" w:eastAsia="宋体" w:cs="Times New Roman"/>
          <w:b/>
          <w:bCs w:val="0"/>
          <w:snapToGrid w:val="0"/>
          <w:color w:val="auto"/>
          <w:sz w:val="24"/>
          <w:szCs w:val="24"/>
        </w:rPr>
        <w:t>1.8 计量单位</w:t>
      </w:r>
      <w:bookmarkEnd w:id="222"/>
      <w:bookmarkEnd w:id="223"/>
      <w:bookmarkEnd w:id="224"/>
      <w:bookmarkEnd w:id="225"/>
      <w:bookmarkEnd w:id="226"/>
      <w:bookmarkEnd w:id="227"/>
      <w:bookmarkEnd w:id="228"/>
      <w:bookmarkEnd w:id="229"/>
      <w:bookmarkEnd w:id="230"/>
      <w:bookmarkEnd w:id="231"/>
      <w:bookmarkEnd w:id="232"/>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33" w:name="_Toc95830567"/>
      <w:bookmarkStart w:id="234" w:name="_Toc26159"/>
      <w:bookmarkStart w:id="235" w:name="_Toc95830453"/>
      <w:bookmarkStart w:id="236" w:name="_Toc224103327"/>
      <w:bookmarkStart w:id="237" w:name="_Toc277082562"/>
      <w:bookmarkStart w:id="238" w:name="_Toc287620695"/>
      <w:bookmarkStart w:id="239" w:name="_Toc509218720"/>
      <w:bookmarkStart w:id="240" w:name="_Toc95830675"/>
      <w:bookmarkStart w:id="241" w:name="_Toc430530445"/>
      <w:bookmarkStart w:id="242" w:name="_Toc200513136"/>
      <w:bookmarkStart w:id="243" w:name="_Toc287607756"/>
      <w:r>
        <w:rPr>
          <w:rFonts w:ascii="宋体" w:hAnsi="宋体" w:eastAsia="宋体" w:cs="Times New Roman"/>
          <w:b/>
          <w:bCs w:val="0"/>
          <w:snapToGrid w:val="0"/>
          <w:color w:val="auto"/>
          <w:sz w:val="24"/>
          <w:szCs w:val="24"/>
        </w:rPr>
        <w:t>1.9 踏勘现场</w:t>
      </w:r>
      <w:bookmarkEnd w:id="233"/>
      <w:bookmarkEnd w:id="234"/>
      <w:bookmarkEnd w:id="235"/>
      <w:bookmarkEnd w:id="236"/>
      <w:bookmarkEnd w:id="237"/>
      <w:bookmarkEnd w:id="238"/>
      <w:bookmarkEnd w:id="239"/>
      <w:bookmarkEnd w:id="240"/>
      <w:bookmarkEnd w:id="241"/>
      <w:bookmarkEnd w:id="242"/>
      <w:bookmarkEnd w:id="243"/>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1.9.1 投标人须知前附表规定组织踏勘现场的，招标人按投标人须知前附表规定的时间、 地点组织投标人踏勘项目现场。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1.9.2 投标人踏勘现场发生的费用自理。</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1.9.3 除招标人的原因外，投标人自行负责在踏勘现场中所发生的人员伤亡和财产损失。</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1.9.4 招标人在踏勘现场中介绍的工程场地和相关的周边环境情况，供投标人在编制投标文件时参考，招标人不对投标人据此做出的判断和决策负责。</w:t>
      </w:r>
    </w:p>
    <w:p>
      <w:pPr>
        <w:pageBreakBefore w:val="0"/>
        <w:widowControl w:val="0"/>
        <w:kinsoku/>
        <w:overflowPunct/>
        <w:topLinePunct w:val="0"/>
        <w:bidi w:val="0"/>
        <w:snapToGrid w:val="0"/>
        <w:spacing w:before="0" w:after="0" w:line="360" w:lineRule="auto"/>
        <w:textAlignment w:val="auto"/>
        <w:outlineLvl w:val="9"/>
        <w:rPr>
          <w:rFonts w:hint="default" w:ascii="宋体" w:hAnsi="宋体" w:eastAsia="宋体" w:cs="Times New Roman"/>
          <w:b/>
          <w:bCs w:val="0"/>
          <w:snapToGrid w:val="0"/>
          <w:color w:val="auto"/>
          <w:sz w:val="24"/>
          <w:szCs w:val="24"/>
          <w:lang w:val="en-US" w:eastAsia="zh-CN"/>
        </w:rPr>
      </w:pPr>
      <w:bookmarkStart w:id="244" w:name="_Toc1431"/>
      <w:r>
        <w:rPr>
          <w:rFonts w:ascii="宋体" w:hAnsi="宋体" w:eastAsia="宋体" w:cs="Times New Roman"/>
          <w:b/>
          <w:bCs w:val="0"/>
          <w:snapToGrid w:val="0"/>
          <w:color w:val="auto"/>
          <w:sz w:val="24"/>
          <w:szCs w:val="24"/>
        </w:rPr>
        <w:t>1.</w:t>
      </w:r>
      <w:r>
        <w:rPr>
          <w:rFonts w:hint="eastAsia" w:ascii="宋体" w:hAnsi="宋体" w:cs="Times New Roman"/>
          <w:b/>
          <w:bCs w:val="0"/>
          <w:snapToGrid w:val="0"/>
          <w:color w:val="auto"/>
          <w:sz w:val="24"/>
          <w:szCs w:val="24"/>
          <w:lang w:val="en-US" w:eastAsia="zh-CN"/>
        </w:rPr>
        <w:t>10</w:t>
      </w:r>
      <w:r>
        <w:rPr>
          <w:rFonts w:ascii="宋体" w:hAnsi="宋体" w:eastAsia="宋体" w:cs="Times New Roman"/>
          <w:b/>
          <w:bCs w:val="0"/>
          <w:snapToGrid w:val="0"/>
          <w:color w:val="auto"/>
          <w:sz w:val="24"/>
          <w:szCs w:val="24"/>
        </w:rPr>
        <w:t xml:space="preserve"> </w:t>
      </w:r>
      <w:r>
        <w:rPr>
          <w:rFonts w:hint="eastAsia" w:ascii="宋体" w:hAnsi="宋体" w:cs="Times New Roman"/>
          <w:b/>
          <w:bCs w:val="0"/>
          <w:snapToGrid w:val="0"/>
          <w:color w:val="auto"/>
          <w:sz w:val="24"/>
          <w:szCs w:val="24"/>
          <w:lang w:val="en-US" w:eastAsia="zh-CN"/>
        </w:rPr>
        <w:t>投标预备会：</w:t>
      </w:r>
      <w:r>
        <w:rPr>
          <w:rFonts w:ascii="宋体" w:hAnsi="宋体" w:eastAsia="宋体" w:cs="Times New Roman"/>
          <w:b w:val="0"/>
          <w:bCs w:val="0"/>
          <w:snapToGrid w:val="0"/>
          <w:color w:val="auto"/>
          <w:kern w:val="0"/>
          <w:sz w:val="21"/>
          <w:szCs w:val="21"/>
          <w:lang w:val="en-US" w:eastAsia="zh-CN" w:bidi="ar-SA"/>
        </w:rPr>
        <w:t>见投标人须知前附表。</w:t>
      </w:r>
      <w:bookmarkEnd w:id="244"/>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245" w:name="_Toc224103331"/>
      <w:bookmarkStart w:id="246" w:name="_Toc200513140"/>
      <w:bookmarkStart w:id="247" w:name="_Toc430530449"/>
      <w:bookmarkStart w:id="248" w:name="_Toc287607760"/>
      <w:bookmarkStart w:id="249" w:name="_Toc287620699"/>
      <w:bookmarkStart w:id="250" w:name="_Toc3496"/>
      <w:bookmarkStart w:id="251" w:name="_Toc18374"/>
      <w:bookmarkStart w:id="252" w:name="_Toc277082566"/>
      <w:bookmarkStart w:id="253" w:name="_Toc16695"/>
      <w:bookmarkStart w:id="254" w:name="_Toc18347"/>
      <w:bookmarkStart w:id="255" w:name="_Toc6647"/>
      <w:bookmarkStart w:id="256" w:name="_Toc95830679"/>
      <w:bookmarkStart w:id="257" w:name="_Toc509218724"/>
      <w:r>
        <w:rPr>
          <w:rFonts w:ascii="宋体" w:hAnsi="宋体" w:eastAsia="宋体" w:cs="Times New Roman"/>
          <w:b/>
          <w:bCs w:val="0"/>
          <w:snapToGrid w:val="0"/>
          <w:color w:val="auto"/>
          <w:sz w:val="32"/>
          <w:szCs w:val="32"/>
        </w:rPr>
        <w:t>2.招标文件</w:t>
      </w:r>
      <w:bookmarkEnd w:id="245"/>
      <w:bookmarkEnd w:id="246"/>
      <w:bookmarkEnd w:id="247"/>
      <w:bookmarkEnd w:id="248"/>
      <w:bookmarkEnd w:id="249"/>
      <w:bookmarkEnd w:id="250"/>
      <w:bookmarkEnd w:id="251"/>
      <w:bookmarkEnd w:id="252"/>
      <w:bookmarkEnd w:id="253"/>
      <w:bookmarkEnd w:id="254"/>
      <w:bookmarkEnd w:id="255"/>
      <w:bookmarkEnd w:id="256"/>
      <w:bookmarkEnd w:id="257"/>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58" w:name="_Toc200513141"/>
      <w:bookmarkStart w:id="259" w:name="_Toc509218725"/>
      <w:bookmarkStart w:id="260" w:name="_Toc15745"/>
      <w:bookmarkStart w:id="261" w:name="_Toc95830680"/>
      <w:bookmarkStart w:id="262" w:name="_Toc287620700"/>
      <w:bookmarkStart w:id="263" w:name="_Toc287607761"/>
      <w:bookmarkStart w:id="264" w:name="_Toc95830458"/>
      <w:bookmarkStart w:id="265" w:name="_Toc95830572"/>
      <w:bookmarkStart w:id="266" w:name="_Toc430530450"/>
      <w:bookmarkStart w:id="267" w:name="_Toc277082567"/>
      <w:bookmarkStart w:id="268" w:name="_Toc224103332"/>
      <w:r>
        <w:rPr>
          <w:rFonts w:ascii="宋体" w:hAnsi="宋体" w:eastAsia="宋体" w:cs="Times New Roman"/>
          <w:b/>
          <w:bCs w:val="0"/>
          <w:snapToGrid w:val="0"/>
          <w:color w:val="auto"/>
          <w:sz w:val="24"/>
          <w:szCs w:val="24"/>
        </w:rPr>
        <w:t>2.1 招标文件的组成</w:t>
      </w:r>
      <w:bookmarkEnd w:id="258"/>
      <w:bookmarkEnd w:id="259"/>
      <w:bookmarkEnd w:id="260"/>
      <w:bookmarkEnd w:id="261"/>
      <w:bookmarkEnd w:id="262"/>
      <w:bookmarkEnd w:id="263"/>
      <w:bookmarkEnd w:id="264"/>
      <w:bookmarkEnd w:id="265"/>
      <w:bookmarkEnd w:id="266"/>
      <w:bookmarkEnd w:id="267"/>
      <w:bookmarkEnd w:id="268"/>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本招标文件包括：</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（1）招标公告；</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（2）投标人须知；</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（3）评标办法；</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（4）合同条款及格式；</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（5）工程量清单</w:t>
      </w:r>
      <w:r>
        <w:rPr>
          <w:rFonts w:hint="eastAsia" w:ascii="宋体" w:hAnsi="宋体"/>
          <w:snapToGrid w:val="0"/>
          <w:color w:val="auto"/>
          <w:kern w:val="0"/>
          <w:szCs w:val="21"/>
          <w:lang w:eastAsia="zh-CN"/>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w:t>
      </w:r>
      <w:r>
        <w:rPr>
          <w:rFonts w:hint="eastAsia" w:ascii="宋体" w:hAnsi="宋体"/>
          <w:snapToGrid w:val="0"/>
          <w:color w:val="auto"/>
          <w:kern w:val="0"/>
          <w:szCs w:val="21"/>
          <w:lang w:val="en-US" w:eastAsia="zh-CN"/>
        </w:rPr>
        <w:t>图纸及甲供材料清单</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7</w:t>
      </w:r>
      <w:r>
        <w:rPr>
          <w:rFonts w:ascii="宋体" w:hAnsi="宋体"/>
          <w:snapToGrid w:val="0"/>
          <w:color w:val="auto"/>
          <w:kern w:val="0"/>
          <w:szCs w:val="21"/>
        </w:rPr>
        <w:t>）投标文件格式；</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8</w:t>
      </w:r>
      <w:r>
        <w:rPr>
          <w:rFonts w:ascii="宋体" w:hAnsi="宋体"/>
          <w:snapToGrid w:val="0"/>
          <w:color w:val="auto"/>
          <w:kern w:val="0"/>
          <w:szCs w:val="21"/>
        </w:rPr>
        <w:t>）投标人须知前附表规定的其他材料。</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u w:val="none"/>
        </w:rPr>
      </w:pPr>
      <w:r>
        <w:rPr>
          <w:rFonts w:ascii="宋体" w:hAnsi="宋体"/>
          <w:snapToGrid w:val="0"/>
          <w:color w:val="auto"/>
          <w:kern w:val="0"/>
          <w:szCs w:val="21"/>
          <w:u w:val="none"/>
        </w:rPr>
        <w:t>根据本章第2.2款和第2.3款对招标文件所作的澄清、修改，构成招标文件的组成部分。</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u w:val="none"/>
        </w:rPr>
      </w:pPr>
      <w:bookmarkStart w:id="269" w:name="_Toc430530451"/>
      <w:bookmarkStart w:id="270" w:name="_Toc95830573"/>
      <w:bookmarkStart w:id="271" w:name="_Toc95830681"/>
      <w:bookmarkStart w:id="272" w:name="_Toc1302"/>
      <w:bookmarkStart w:id="273" w:name="_Toc509218726"/>
      <w:bookmarkStart w:id="274" w:name="_Toc95830459"/>
      <w:r>
        <w:rPr>
          <w:rFonts w:ascii="宋体" w:hAnsi="宋体" w:eastAsia="宋体" w:cs="Times New Roman"/>
          <w:b/>
          <w:bCs w:val="0"/>
          <w:snapToGrid w:val="0"/>
          <w:color w:val="auto"/>
          <w:sz w:val="24"/>
          <w:szCs w:val="24"/>
          <w:u w:val="none"/>
        </w:rPr>
        <w:t>2.2 招标文件的澄清</w:t>
      </w:r>
      <w:bookmarkEnd w:id="269"/>
      <w:bookmarkEnd w:id="270"/>
      <w:bookmarkEnd w:id="271"/>
      <w:bookmarkEnd w:id="272"/>
      <w:bookmarkEnd w:id="273"/>
      <w:bookmarkEnd w:id="274"/>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u w:val="none"/>
        </w:rPr>
      </w:pPr>
      <w:r>
        <w:rPr>
          <w:rFonts w:ascii="宋体" w:hAnsi="宋体"/>
          <w:snapToGrid w:val="0"/>
          <w:color w:val="auto"/>
          <w:kern w:val="0"/>
          <w:szCs w:val="21"/>
          <w:u w:val="none"/>
        </w:rPr>
        <w:t>2.2.1 投标人应仔细阅读和检查招标文件的全部内容。如发现缺页或附件不全，应及时向招标人提出，以便补齐。如有疑问，应在投标人须知前附表规定的时间前</w:t>
      </w:r>
      <w:r>
        <w:rPr>
          <w:rFonts w:hint="eastAsia" w:ascii="宋体" w:hAnsi="宋体"/>
          <w:snapToGrid w:val="0"/>
          <w:color w:val="auto"/>
          <w:kern w:val="0"/>
          <w:szCs w:val="21"/>
          <w:u w:val="none"/>
          <w:lang w:val="en-US" w:eastAsia="zh-CN"/>
        </w:rPr>
        <w:t>以书面形式提出疑问</w:t>
      </w:r>
      <w:r>
        <w:rPr>
          <w:rFonts w:ascii="宋体" w:hAnsi="宋体"/>
          <w:snapToGrid w:val="0"/>
          <w:color w:val="auto"/>
          <w:kern w:val="0"/>
          <w:szCs w:val="21"/>
          <w:u w:val="none"/>
        </w:rPr>
        <w:t>，要求招标人对招标文件予以澄清。</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u w:val="none"/>
        </w:rPr>
      </w:pPr>
      <w:r>
        <w:rPr>
          <w:rFonts w:ascii="宋体" w:hAnsi="宋体"/>
          <w:snapToGrid w:val="0"/>
          <w:color w:val="auto"/>
          <w:kern w:val="0"/>
          <w:szCs w:val="21"/>
          <w:u w:val="none"/>
        </w:rPr>
        <w:t>2.2.2 招标文件的澄清将在投标人须知前附表规定的时间</w:t>
      </w:r>
      <w:r>
        <w:rPr>
          <w:rFonts w:ascii="宋体" w:hAnsi="宋体"/>
          <w:color w:val="auto"/>
          <w:kern w:val="0"/>
          <w:szCs w:val="21"/>
          <w:u w:val="none"/>
        </w:rPr>
        <w:t>在</w:t>
      </w:r>
      <w:r>
        <w:rPr>
          <w:rFonts w:hint="eastAsia" w:ascii="宋体" w:hAnsi="宋体"/>
          <w:color w:val="auto"/>
          <w:szCs w:val="21"/>
          <w:u w:val="none"/>
          <w:lang w:eastAsia="zh-CN"/>
        </w:rPr>
        <w:t>重庆市建筑科学研究院有限公司</w:t>
      </w:r>
      <w:r>
        <w:rPr>
          <w:rFonts w:hint="eastAsia" w:ascii="宋体" w:hAnsi="宋体"/>
          <w:color w:val="auto"/>
          <w:szCs w:val="21"/>
          <w:u w:val="none"/>
          <w:lang w:val="en-US" w:eastAsia="zh-CN"/>
        </w:rPr>
        <w:t>网站</w:t>
      </w:r>
      <w:r>
        <w:rPr>
          <w:rFonts w:hint="eastAsia" w:ascii="宋体" w:hAnsi="宋体"/>
          <w:color w:val="auto"/>
          <w:szCs w:val="21"/>
          <w:u w:val="none"/>
          <w:lang w:eastAsia="zh-CN"/>
        </w:rPr>
        <w:t>（http://www.cqsjky.com）</w:t>
      </w:r>
      <w:r>
        <w:rPr>
          <w:rFonts w:ascii="宋体" w:hAnsi="宋体"/>
          <w:color w:val="auto"/>
          <w:kern w:val="0"/>
          <w:szCs w:val="21"/>
          <w:u w:val="none"/>
        </w:rPr>
        <w:t>发布，</w:t>
      </w:r>
      <w:r>
        <w:rPr>
          <w:rFonts w:ascii="宋体" w:hAnsi="宋体"/>
          <w:snapToGrid w:val="0"/>
          <w:color w:val="auto"/>
          <w:kern w:val="0"/>
          <w:szCs w:val="21"/>
          <w:u w:val="none"/>
        </w:rPr>
        <w:t>但不指明澄清问题的来源。</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snapToGrid w:val="0"/>
          <w:color w:val="auto"/>
          <w:kern w:val="0"/>
          <w:szCs w:val="21"/>
          <w:u w:val="none"/>
          <w:lang w:val="en-US" w:eastAsia="zh-CN"/>
        </w:rPr>
      </w:pPr>
      <w:r>
        <w:rPr>
          <w:rFonts w:ascii="宋体" w:hAnsi="宋体"/>
          <w:snapToGrid w:val="0"/>
          <w:color w:val="auto"/>
          <w:kern w:val="0"/>
          <w:szCs w:val="21"/>
          <w:u w:val="none"/>
        </w:rPr>
        <w:t xml:space="preserve">2.2.3 </w:t>
      </w:r>
      <w:r>
        <w:rPr>
          <w:rFonts w:ascii="宋体" w:hAnsi="宋体"/>
          <w:color w:val="auto"/>
          <w:kern w:val="0"/>
          <w:szCs w:val="21"/>
          <w:u w:val="none"/>
        </w:rPr>
        <w:t>招标人对招标文件的</w:t>
      </w:r>
      <w:r>
        <w:rPr>
          <w:rFonts w:ascii="宋体" w:hAnsi="宋体"/>
          <w:snapToGrid w:val="0"/>
          <w:color w:val="auto"/>
          <w:kern w:val="0"/>
          <w:szCs w:val="21"/>
          <w:u w:val="none"/>
        </w:rPr>
        <w:t>修改内容可能影响投标文件编制的，须在投标人须知前附表规定的</w:t>
      </w:r>
      <w:r>
        <w:rPr>
          <w:rFonts w:hint="eastAsia" w:ascii="宋体" w:hAnsi="宋体"/>
          <w:snapToGrid w:val="0"/>
          <w:color w:val="auto"/>
          <w:kern w:val="0"/>
          <w:szCs w:val="21"/>
          <w:u w:val="none"/>
          <w:lang w:val="en-US" w:eastAsia="zh-CN"/>
        </w:rPr>
        <w:t>澄清时间前在</w:t>
      </w:r>
      <w:r>
        <w:rPr>
          <w:rFonts w:hint="eastAsia" w:ascii="宋体" w:hAnsi="宋体"/>
          <w:snapToGrid w:val="0"/>
          <w:color w:val="auto"/>
          <w:kern w:val="0"/>
          <w:szCs w:val="21"/>
          <w:u w:val="none"/>
          <w:lang w:eastAsia="zh-CN"/>
        </w:rPr>
        <w:t>重庆市建筑科学研究院有限公司</w:t>
      </w:r>
      <w:r>
        <w:rPr>
          <w:rFonts w:hint="eastAsia" w:ascii="宋体" w:hAnsi="宋体"/>
          <w:snapToGrid w:val="0"/>
          <w:color w:val="auto"/>
          <w:kern w:val="0"/>
          <w:szCs w:val="21"/>
          <w:u w:val="none"/>
          <w:lang w:val="en-US" w:eastAsia="zh-CN"/>
        </w:rPr>
        <w:t>网站</w:t>
      </w:r>
      <w:r>
        <w:rPr>
          <w:rFonts w:hint="eastAsia" w:ascii="宋体" w:hAnsi="宋体"/>
          <w:snapToGrid w:val="0"/>
          <w:color w:val="auto"/>
          <w:kern w:val="0"/>
          <w:szCs w:val="21"/>
          <w:u w:val="none"/>
          <w:lang w:eastAsia="zh-CN"/>
        </w:rPr>
        <w:t>（http://www.cqsjky.com）</w:t>
      </w:r>
      <w:r>
        <w:rPr>
          <w:rFonts w:hint="eastAsia" w:ascii="宋体" w:hAnsi="宋体"/>
          <w:snapToGrid w:val="0"/>
          <w:color w:val="auto"/>
          <w:kern w:val="0"/>
          <w:szCs w:val="21"/>
          <w:u w:val="none"/>
          <w:lang w:val="en-US" w:eastAsia="zh-CN"/>
        </w:rPr>
        <w:t>发布澄清</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75" w:name="_Toc287607763"/>
      <w:bookmarkStart w:id="276" w:name="_Toc95830460"/>
      <w:bookmarkStart w:id="277" w:name="_Toc509218727"/>
      <w:bookmarkStart w:id="278" w:name="_Toc95830682"/>
      <w:bookmarkStart w:id="279" w:name="_Toc224103334"/>
      <w:bookmarkStart w:id="280" w:name="_Toc200513143"/>
      <w:bookmarkStart w:id="281" w:name="_Toc287620702"/>
      <w:bookmarkStart w:id="282" w:name="_Toc95830574"/>
      <w:bookmarkStart w:id="283" w:name="_Toc430530452"/>
      <w:bookmarkStart w:id="284" w:name="_Toc277082569"/>
      <w:bookmarkStart w:id="285" w:name="_Toc23343"/>
      <w:r>
        <w:rPr>
          <w:rFonts w:ascii="宋体" w:hAnsi="宋体" w:eastAsia="宋体" w:cs="Times New Roman"/>
          <w:b/>
          <w:bCs w:val="0"/>
          <w:snapToGrid w:val="0"/>
          <w:color w:val="auto"/>
          <w:sz w:val="24"/>
          <w:szCs w:val="24"/>
        </w:rPr>
        <w:t>2.3 招标文件的修改</w:t>
      </w:r>
      <w:bookmarkEnd w:id="275"/>
      <w:bookmarkEnd w:id="276"/>
      <w:bookmarkEnd w:id="277"/>
      <w:bookmarkEnd w:id="278"/>
      <w:bookmarkEnd w:id="279"/>
      <w:bookmarkEnd w:id="280"/>
      <w:bookmarkEnd w:id="281"/>
      <w:bookmarkEnd w:id="282"/>
      <w:bookmarkEnd w:id="283"/>
      <w:bookmarkEnd w:id="284"/>
      <w:bookmarkEnd w:id="285"/>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szCs w:val="21"/>
        </w:rPr>
      </w:pPr>
      <w:bookmarkStart w:id="286" w:name="_Toc277082570"/>
      <w:bookmarkStart w:id="287" w:name="_Toc287607764"/>
      <w:bookmarkStart w:id="288" w:name="_Toc200513144"/>
      <w:bookmarkStart w:id="289" w:name="_Toc287620703"/>
      <w:bookmarkStart w:id="290" w:name="_Toc224103335"/>
      <w:r>
        <w:rPr>
          <w:rFonts w:ascii="宋体" w:hAnsi="宋体"/>
          <w:snapToGrid w:val="0"/>
          <w:color w:val="auto"/>
          <w:szCs w:val="21"/>
        </w:rPr>
        <w:t>按照本章第2.2款招标文件的澄清相关内容及方式执行。</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291" w:name="_Toc14103"/>
      <w:bookmarkStart w:id="292" w:name="_Toc27596"/>
      <w:bookmarkStart w:id="293" w:name="_Toc20442"/>
      <w:bookmarkStart w:id="294" w:name="_Toc95830683"/>
      <w:bookmarkStart w:id="295" w:name="_Toc10625"/>
      <w:bookmarkStart w:id="296" w:name="_Toc430530453"/>
      <w:bookmarkStart w:id="297" w:name="_Toc509218728"/>
      <w:bookmarkStart w:id="298" w:name="_Toc26903"/>
      <w:r>
        <w:rPr>
          <w:rFonts w:ascii="宋体" w:hAnsi="宋体" w:eastAsia="宋体" w:cs="Times New Roman"/>
          <w:b/>
          <w:bCs w:val="0"/>
          <w:snapToGrid w:val="0"/>
          <w:color w:val="auto"/>
          <w:sz w:val="32"/>
          <w:szCs w:val="32"/>
        </w:rPr>
        <w:t>3.投标文件</w:t>
      </w:r>
      <w:bookmarkEnd w:id="286"/>
      <w:bookmarkEnd w:id="287"/>
      <w:bookmarkEnd w:id="288"/>
      <w:bookmarkEnd w:id="289"/>
      <w:bookmarkEnd w:id="290"/>
      <w:bookmarkEnd w:id="291"/>
      <w:bookmarkEnd w:id="292"/>
      <w:bookmarkEnd w:id="293"/>
      <w:bookmarkEnd w:id="294"/>
      <w:bookmarkEnd w:id="295"/>
      <w:bookmarkEnd w:id="296"/>
      <w:bookmarkEnd w:id="297"/>
      <w:bookmarkEnd w:id="298"/>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299" w:name="_Toc200513145"/>
      <w:bookmarkStart w:id="300" w:name="_Toc287607765"/>
      <w:bookmarkStart w:id="301" w:name="_Toc95830576"/>
      <w:bookmarkStart w:id="302" w:name="_Toc430530454"/>
      <w:bookmarkStart w:id="303" w:name="_Toc29930"/>
      <w:bookmarkStart w:id="304" w:name="_Toc277082571"/>
      <w:bookmarkStart w:id="305" w:name="_Toc224103336"/>
      <w:bookmarkStart w:id="306" w:name="_Toc509218729"/>
      <w:bookmarkStart w:id="307" w:name="_Toc95830684"/>
      <w:bookmarkStart w:id="308" w:name="_Toc287620704"/>
      <w:bookmarkStart w:id="309" w:name="_Toc95830462"/>
      <w:r>
        <w:rPr>
          <w:rFonts w:ascii="宋体" w:hAnsi="宋体" w:eastAsia="宋体" w:cs="Times New Roman"/>
          <w:b/>
          <w:bCs w:val="0"/>
          <w:snapToGrid w:val="0"/>
          <w:color w:val="auto"/>
          <w:sz w:val="24"/>
          <w:szCs w:val="24"/>
        </w:rPr>
        <w:t>3.1 投标文件的组成</w:t>
      </w:r>
      <w:bookmarkEnd w:id="299"/>
      <w:bookmarkEnd w:id="300"/>
      <w:bookmarkEnd w:id="301"/>
      <w:bookmarkEnd w:id="302"/>
      <w:bookmarkEnd w:id="303"/>
      <w:bookmarkEnd w:id="304"/>
      <w:bookmarkEnd w:id="305"/>
      <w:bookmarkEnd w:id="306"/>
      <w:bookmarkEnd w:id="307"/>
      <w:bookmarkEnd w:id="308"/>
      <w:bookmarkEnd w:id="309"/>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lang w:val="en-US" w:eastAsia="zh-CN"/>
        </w:rPr>
        <w:t xml:space="preserve">3.1.1 </w:t>
      </w:r>
      <w:r>
        <w:rPr>
          <w:rFonts w:ascii="宋体" w:hAnsi="宋体"/>
          <w:snapToGrid w:val="0"/>
          <w:color w:val="auto"/>
          <w:kern w:val="0"/>
          <w:szCs w:val="21"/>
        </w:rPr>
        <w:t>投标文件应包括下列内容：</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bookmarkStart w:id="310" w:name="_Toc277082572"/>
      <w:bookmarkStart w:id="311" w:name="_Toc287607766"/>
      <w:bookmarkStart w:id="312" w:name="_Toc95830463"/>
      <w:bookmarkStart w:id="313" w:name="_Toc95830685"/>
      <w:bookmarkStart w:id="314" w:name="_Toc509218730"/>
      <w:bookmarkStart w:id="315" w:name="_Toc200513146"/>
      <w:bookmarkStart w:id="316" w:name="_Toc430530455"/>
      <w:bookmarkStart w:id="317" w:name="_Toc287620705"/>
      <w:bookmarkStart w:id="318" w:name="_Toc224103337"/>
      <w:bookmarkStart w:id="319" w:name="_Toc95830577"/>
      <w:r>
        <w:rPr>
          <w:rFonts w:hint="eastAsia" w:ascii="宋体" w:hAnsi="宋体" w:eastAsia="宋体" w:cs="Times New Roman"/>
          <w:snapToGrid w:val="0"/>
          <w:color w:val="auto"/>
          <w:kern w:val="0"/>
          <w:szCs w:val="21"/>
        </w:rPr>
        <w:t>（1）投标函及投标函附录；</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（2）法定代表人身份证明</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cs="Times New Roman"/>
          <w:snapToGrid w:val="0"/>
          <w:color w:val="auto"/>
          <w:kern w:val="0"/>
          <w:szCs w:val="21"/>
          <w:lang w:eastAsia="zh-CN"/>
        </w:rPr>
        <w:t>（</w:t>
      </w:r>
      <w:r>
        <w:rPr>
          <w:rFonts w:hint="eastAsia" w:ascii="宋体" w:hAnsi="宋体" w:cs="Times New Roman"/>
          <w:snapToGrid w:val="0"/>
          <w:color w:val="auto"/>
          <w:kern w:val="0"/>
          <w:szCs w:val="21"/>
          <w:lang w:val="en-US" w:eastAsia="zh-CN"/>
        </w:rPr>
        <w:t>3</w:t>
      </w:r>
      <w:r>
        <w:rPr>
          <w:rFonts w:hint="eastAsia" w:ascii="宋体" w:hAnsi="宋体" w:cs="Times New Roman"/>
          <w:snapToGrid w:val="0"/>
          <w:color w:val="auto"/>
          <w:kern w:val="0"/>
          <w:szCs w:val="21"/>
          <w:lang w:eastAsia="zh-CN"/>
        </w:rPr>
        <w:t>）</w:t>
      </w:r>
      <w:r>
        <w:rPr>
          <w:rFonts w:hint="eastAsia" w:ascii="宋体" w:hAnsi="宋体" w:eastAsia="宋体" w:cs="Times New Roman"/>
          <w:snapToGrid w:val="0"/>
          <w:color w:val="auto"/>
          <w:kern w:val="0"/>
          <w:szCs w:val="21"/>
        </w:rPr>
        <w:t>授权委托书；</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4</w:t>
      </w:r>
      <w:r>
        <w:rPr>
          <w:rFonts w:hint="eastAsia" w:ascii="宋体" w:hAnsi="宋体" w:eastAsia="宋体" w:cs="Times New Roman"/>
          <w:snapToGrid w:val="0"/>
          <w:color w:val="auto"/>
          <w:kern w:val="0"/>
          <w:szCs w:val="21"/>
        </w:rPr>
        <w:t>）投标保证金；</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5</w:t>
      </w:r>
      <w:r>
        <w:rPr>
          <w:rFonts w:hint="eastAsia" w:ascii="宋体" w:hAnsi="宋体" w:eastAsia="宋体" w:cs="Times New Roman"/>
          <w:snapToGrid w:val="0"/>
          <w:color w:val="auto"/>
          <w:kern w:val="0"/>
          <w:szCs w:val="21"/>
        </w:rPr>
        <w:t>）已标价工程量清单；</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6</w:t>
      </w:r>
      <w:r>
        <w:rPr>
          <w:rFonts w:hint="eastAsia" w:ascii="宋体" w:hAnsi="宋体" w:eastAsia="宋体" w:cs="Times New Roman"/>
          <w:snapToGrid w:val="0"/>
          <w:color w:val="auto"/>
          <w:kern w:val="0"/>
          <w:szCs w:val="21"/>
        </w:rPr>
        <w:t>）资格审查资料；</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7</w:t>
      </w:r>
      <w:r>
        <w:rPr>
          <w:rFonts w:hint="eastAsia"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val="en-US" w:eastAsia="zh-CN"/>
        </w:rPr>
        <w:t>低价风险担保提交承诺书（如有）</w:t>
      </w:r>
      <w:r>
        <w:rPr>
          <w:rFonts w:hint="eastAsia" w:ascii="宋体" w:hAnsi="宋体" w:eastAsia="宋体" w:cs="Times New Roman"/>
          <w:snapToGrid w:val="0"/>
          <w:color w:val="auto"/>
          <w:kern w:val="0"/>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8</w:t>
      </w:r>
      <w:r>
        <w:rPr>
          <w:rFonts w:hint="eastAsia" w:ascii="宋体" w:hAnsi="宋体" w:eastAsia="宋体" w:cs="Times New Roman"/>
          <w:snapToGrid w:val="0"/>
          <w:color w:val="auto"/>
          <w:kern w:val="0"/>
          <w:szCs w:val="21"/>
        </w:rPr>
        <w:t>）投标人须知前附表规定的其他材料。</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投标人在评标过程中作出的符合法律法规和招标文件规定的澄清确认，构成投标文件的组成部分。</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20" w:name="_Toc3491"/>
      <w:r>
        <w:rPr>
          <w:rFonts w:ascii="宋体" w:hAnsi="宋体" w:eastAsia="宋体" w:cs="Times New Roman"/>
          <w:b/>
          <w:bCs w:val="0"/>
          <w:snapToGrid w:val="0"/>
          <w:color w:val="auto"/>
          <w:sz w:val="24"/>
          <w:szCs w:val="24"/>
        </w:rPr>
        <w:t>3.2 投标报价</w:t>
      </w:r>
      <w:bookmarkEnd w:id="310"/>
      <w:bookmarkEnd w:id="311"/>
      <w:bookmarkEnd w:id="312"/>
      <w:bookmarkEnd w:id="313"/>
      <w:bookmarkEnd w:id="314"/>
      <w:bookmarkEnd w:id="315"/>
      <w:bookmarkEnd w:id="316"/>
      <w:bookmarkEnd w:id="317"/>
      <w:bookmarkEnd w:id="318"/>
      <w:bookmarkEnd w:id="319"/>
      <w:bookmarkEnd w:id="320"/>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3.2.1</w:t>
      </w:r>
      <w:r>
        <w:rPr>
          <w:rFonts w:ascii="宋体" w:hAnsi="宋体"/>
          <w:snapToGrid w:val="0"/>
          <w:color w:val="auto"/>
          <w:kern w:val="0"/>
          <w:szCs w:val="21"/>
        </w:rPr>
        <w:t xml:space="preserve"> </w:t>
      </w:r>
      <w:r>
        <w:rPr>
          <w:rFonts w:hint="eastAsia" w:ascii="宋体" w:hAnsi="宋体"/>
          <w:snapToGrid w:val="0"/>
          <w:color w:val="auto"/>
          <w:kern w:val="0"/>
          <w:szCs w:val="21"/>
        </w:rPr>
        <w:t>投标人应按第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章“投标文件格式”的要求填写价格清单。</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snapToGrid w:val="0"/>
          <w:color w:val="auto"/>
          <w:kern w:val="0"/>
          <w:szCs w:val="21"/>
        </w:rPr>
      </w:pPr>
      <w:r>
        <w:rPr>
          <w:rFonts w:hint="eastAsia" w:ascii="宋体" w:hAnsi="宋体"/>
          <w:snapToGrid w:val="0"/>
          <w:color w:val="auto"/>
          <w:kern w:val="0"/>
          <w:szCs w:val="21"/>
        </w:rPr>
        <w:t>3.2.2</w:t>
      </w:r>
      <w:r>
        <w:rPr>
          <w:rFonts w:ascii="宋体" w:hAnsi="宋体"/>
          <w:snapToGrid w:val="0"/>
          <w:color w:val="auto"/>
          <w:kern w:val="0"/>
          <w:szCs w:val="21"/>
        </w:rPr>
        <w:t xml:space="preserve"> </w:t>
      </w:r>
      <w:r>
        <w:rPr>
          <w:rFonts w:hint="eastAsia" w:ascii="宋体" w:hAnsi="宋体"/>
          <w:snapToGrid w:val="0"/>
          <w:color w:val="auto"/>
          <w:kern w:val="0"/>
          <w:szCs w:val="21"/>
        </w:rPr>
        <w:t>投标人应充分了解施工场地的</w:t>
      </w:r>
      <w:r>
        <w:rPr>
          <w:rFonts w:ascii="宋体" w:hAnsi="宋体"/>
          <w:snapToGrid w:val="0"/>
          <w:color w:val="auto"/>
          <w:kern w:val="0"/>
          <w:szCs w:val="21"/>
        </w:rPr>
        <w:t>位置、周边</w:t>
      </w:r>
      <w:r>
        <w:rPr>
          <w:rFonts w:hint="eastAsia" w:ascii="宋体" w:hAnsi="宋体"/>
          <w:snapToGrid w:val="0"/>
          <w:color w:val="auto"/>
          <w:kern w:val="0"/>
          <w:szCs w:val="21"/>
        </w:rPr>
        <w:t>环境</w:t>
      </w:r>
      <w:r>
        <w:rPr>
          <w:rFonts w:ascii="宋体" w:hAnsi="宋体"/>
          <w:snapToGrid w:val="0"/>
          <w:color w:val="auto"/>
          <w:kern w:val="0"/>
          <w:szCs w:val="21"/>
        </w:rPr>
        <w:t>、道路、装卸、保管、安装限制</w:t>
      </w:r>
      <w:r>
        <w:rPr>
          <w:rFonts w:hint="eastAsia" w:ascii="宋体" w:hAnsi="宋体"/>
          <w:snapToGrid w:val="0"/>
          <w:color w:val="auto"/>
          <w:kern w:val="0"/>
          <w:szCs w:val="21"/>
        </w:rPr>
        <w:t>以</w:t>
      </w:r>
      <w:r>
        <w:rPr>
          <w:rFonts w:ascii="宋体" w:hAnsi="宋体"/>
          <w:snapToGrid w:val="0"/>
          <w:color w:val="auto"/>
          <w:kern w:val="0"/>
          <w:szCs w:val="21"/>
        </w:rPr>
        <w:t>及影响</w:t>
      </w:r>
      <w:r>
        <w:rPr>
          <w:rFonts w:hint="eastAsia" w:ascii="宋体" w:hAnsi="宋体"/>
          <w:snapToGrid w:val="0"/>
          <w:color w:val="auto"/>
          <w:kern w:val="0"/>
          <w:szCs w:val="21"/>
        </w:rPr>
        <w:t>投标报价的其他要素。</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3.2.3</w:t>
      </w:r>
      <w:r>
        <w:rPr>
          <w:rFonts w:ascii="宋体" w:hAnsi="宋体"/>
          <w:snapToGrid w:val="0"/>
          <w:color w:val="auto"/>
          <w:kern w:val="0"/>
          <w:szCs w:val="21"/>
        </w:rPr>
        <w:t xml:space="preserve"> </w:t>
      </w:r>
      <w:r>
        <w:rPr>
          <w:rFonts w:hint="eastAsia" w:ascii="宋体" w:hAnsi="宋体"/>
          <w:snapToGrid w:val="0"/>
          <w:color w:val="auto"/>
          <w:kern w:val="0"/>
          <w:szCs w:val="21"/>
        </w:rPr>
        <w:t>投标人在投标截止时间前修改投标函中的投标报价总额，应同时修改投标文件“价格清单”中的相应报价，投标报价总额为各分项金额之和。此修改须符合本章第4.3款的有关要求。</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3.2.4</w:t>
      </w:r>
      <w:r>
        <w:rPr>
          <w:rFonts w:ascii="宋体" w:hAnsi="宋体"/>
          <w:snapToGrid w:val="0"/>
          <w:color w:val="auto"/>
          <w:kern w:val="0"/>
          <w:szCs w:val="21"/>
        </w:rPr>
        <w:t xml:space="preserve"> </w:t>
      </w:r>
      <w:r>
        <w:rPr>
          <w:rFonts w:hint="eastAsia" w:ascii="宋体" w:hAnsi="宋体"/>
          <w:snapToGrid w:val="0"/>
          <w:color w:val="auto"/>
          <w:kern w:val="0"/>
          <w:szCs w:val="21"/>
        </w:rPr>
        <w:t>招标人</w:t>
      </w:r>
      <w:r>
        <w:rPr>
          <w:rFonts w:hint="eastAsia" w:ascii="宋体" w:hAnsi="宋体"/>
          <w:snapToGrid w:val="0"/>
          <w:color w:val="auto"/>
          <w:kern w:val="0"/>
          <w:szCs w:val="21"/>
          <w:lang w:val="en-US" w:eastAsia="zh-CN"/>
        </w:rPr>
        <w:t>投标总价及分项全费用综合单价均设有</w:t>
      </w:r>
      <w:r>
        <w:rPr>
          <w:rFonts w:hint="eastAsia" w:ascii="宋体" w:hAnsi="宋体"/>
          <w:snapToGrid w:val="0"/>
          <w:color w:val="auto"/>
          <w:kern w:val="0"/>
          <w:szCs w:val="21"/>
        </w:rPr>
        <w:t>最高限价的，投标人的投标报价</w:t>
      </w:r>
      <w:r>
        <w:rPr>
          <w:rFonts w:hint="eastAsia" w:ascii="宋体" w:hAnsi="宋体"/>
          <w:snapToGrid w:val="0"/>
          <w:color w:val="auto"/>
          <w:kern w:val="0"/>
          <w:szCs w:val="21"/>
          <w:lang w:val="en-US" w:eastAsia="zh-CN"/>
        </w:rPr>
        <w:t>总价及分项全费用综合单价</w:t>
      </w:r>
      <w:r>
        <w:rPr>
          <w:rFonts w:hint="eastAsia" w:ascii="宋体" w:hAnsi="宋体"/>
          <w:snapToGrid w:val="0"/>
          <w:color w:val="auto"/>
          <w:kern w:val="0"/>
          <w:szCs w:val="21"/>
        </w:rPr>
        <w:t>不得超过最高限价，</w:t>
      </w:r>
      <w:r>
        <w:rPr>
          <w:rFonts w:hint="eastAsia" w:cs="Times New Roman"/>
          <w:color w:val="auto"/>
          <w:kern w:val="2"/>
          <w:sz w:val="21"/>
          <w:szCs w:val="22"/>
          <w:u w:val="none"/>
          <w:lang w:val="en-US" w:eastAsia="zh-CN" w:bidi="ar-SA"/>
        </w:rPr>
        <w:t>否则由评标委员会作否决投标处理。</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3.2.5</w:t>
      </w:r>
      <w:r>
        <w:rPr>
          <w:rFonts w:ascii="宋体" w:hAnsi="宋体"/>
          <w:snapToGrid w:val="0"/>
          <w:color w:val="auto"/>
          <w:kern w:val="0"/>
          <w:szCs w:val="21"/>
        </w:rPr>
        <w:t xml:space="preserve"> </w:t>
      </w:r>
      <w:r>
        <w:rPr>
          <w:rFonts w:hint="eastAsia" w:ascii="宋体" w:hAnsi="宋体"/>
          <w:snapToGrid w:val="0"/>
          <w:color w:val="auto"/>
          <w:kern w:val="0"/>
          <w:szCs w:val="21"/>
        </w:rPr>
        <w:t>投标报价的其他要求见投标人须知前附表。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21" w:name="_Toc430530456"/>
      <w:bookmarkStart w:id="322" w:name="_Toc95830686"/>
      <w:bookmarkStart w:id="323" w:name="_Toc200513147"/>
      <w:bookmarkStart w:id="324" w:name="_Toc277082573"/>
      <w:bookmarkStart w:id="325" w:name="_Toc287607767"/>
      <w:bookmarkStart w:id="326" w:name="_Toc287620706"/>
      <w:bookmarkStart w:id="327" w:name="_Toc14449"/>
      <w:bookmarkStart w:id="328" w:name="_Toc224103338"/>
      <w:bookmarkStart w:id="329" w:name="_Toc95830578"/>
      <w:bookmarkStart w:id="330" w:name="_Toc509218731"/>
      <w:bookmarkStart w:id="331" w:name="_Toc95830464"/>
      <w:r>
        <w:rPr>
          <w:rFonts w:ascii="宋体" w:hAnsi="宋体" w:eastAsia="宋体" w:cs="Times New Roman"/>
          <w:b/>
          <w:bCs w:val="0"/>
          <w:snapToGrid w:val="0"/>
          <w:color w:val="auto"/>
          <w:sz w:val="24"/>
          <w:szCs w:val="24"/>
        </w:rPr>
        <w:t>3.3 投标有效期</w:t>
      </w:r>
      <w:bookmarkEnd w:id="321"/>
      <w:bookmarkEnd w:id="322"/>
      <w:bookmarkEnd w:id="323"/>
      <w:bookmarkEnd w:id="324"/>
      <w:bookmarkEnd w:id="325"/>
      <w:bookmarkEnd w:id="326"/>
      <w:bookmarkEnd w:id="327"/>
      <w:bookmarkEnd w:id="328"/>
      <w:bookmarkEnd w:id="329"/>
      <w:bookmarkEnd w:id="330"/>
      <w:bookmarkEnd w:id="33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3.3.1 </w:t>
      </w:r>
      <w:r>
        <w:rPr>
          <w:rFonts w:hint="eastAsia" w:ascii="宋体" w:hAnsi="宋体"/>
          <w:color w:val="auto"/>
          <w:szCs w:val="21"/>
        </w:rPr>
        <w:t>除投标人须知前附表另有规定外，投标有效期为</w:t>
      </w:r>
      <w:r>
        <w:rPr>
          <w:rFonts w:hint="eastAsia" w:ascii="宋体" w:hAnsi="宋体"/>
          <w:color w:val="auto"/>
          <w:szCs w:val="21"/>
          <w:lang w:val="en-US" w:eastAsia="zh-CN"/>
        </w:rPr>
        <w:t>90</w:t>
      </w:r>
      <w:r>
        <w:rPr>
          <w:rFonts w:hint="eastAsia" w:ascii="宋体" w:hAnsi="宋体"/>
          <w:color w:val="auto"/>
          <w:szCs w:val="21"/>
        </w:rPr>
        <w:t>天。</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3.3.2</w:t>
      </w:r>
      <w:r>
        <w:rPr>
          <w:rFonts w:ascii="宋体" w:hAnsi="宋体"/>
          <w:snapToGrid w:val="0"/>
          <w:color w:val="auto"/>
          <w:kern w:val="0"/>
          <w:szCs w:val="21"/>
        </w:rPr>
        <w:t xml:space="preserve"> </w:t>
      </w:r>
      <w:r>
        <w:rPr>
          <w:rFonts w:hint="eastAsia" w:ascii="宋体" w:hAnsi="宋体"/>
          <w:color w:val="auto"/>
          <w:szCs w:val="21"/>
        </w:rPr>
        <w:t>在投标有效期内，投标人撤销或修改其投标文件的，应承担招标文件和法律规定的责任。</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3.3.</w:t>
      </w:r>
      <w:r>
        <w:rPr>
          <w:rFonts w:hint="eastAsia" w:ascii="宋体" w:hAnsi="宋体"/>
          <w:snapToGrid w:val="0"/>
          <w:color w:val="auto"/>
          <w:kern w:val="0"/>
          <w:szCs w:val="21"/>
        </w:rPr>
        <w:t>3</w:t>
      </w:r>
      <w:r>
        <w:rPr>
          <w:rFonts w:ascii="宋体" w:hAnsi="宋体"/>
          <w:snapToGrid w:val="0"/>
          <w:color w:val="auto"/>
          <w:kern w:val="0"/>
          <w:szCs w:val="21"/>
        </w:rPr>
        <w:t xml:space="preserve">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w:t>
      </w:r>
      <w:r>
        <w:rPr>
          <w:rFonts w:hint="eastAsia" w:ascii="宋体" w:hAnsi="宋体"/>
          <w:snapToGrid w:val="0"/>
          <w:color w:val="auto"/>
          <w:kern w:val="0"/>
          <w:szCs w:val="21"/>
          <w:lang w:val="en-US" w:eastAsia="zh-CN"/>
        </w:rPr>
        <w:t>保证金</w:t>
      </w:r>
      <w:r>
        <w:rPr>
          <w:rFonts w:ascii="宋体" w:hAnsi="宋体"/>
          <w:snapToGrid w:val="0"/>
          <w:color w:val="auto"/>
          <w:kern w:val="0"/>
          <w:szCs w:val="21"/>
        </w:rPr>
        <w:t>。</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32" w:name="_Toc277082574"/>
      <w:bookmarkStart w:id="333" w:name="_Toc509218732"/>
      <w:bookmarkStart w:id="334" w:name="_Toc287607768"/>
      <w:bookmarkStart w:id="335" w:name="_Toc287620707"/>
      <w:bookmarkStart w:id="336" w:name="_Toc200513148"/>
      <w:bookmarkStart w:id="337" w:name="_Toc224103339"/>
      <w:bookmarkStart w:id="338" w:name="_Toc430530457"/>
      <w:bookmarkStart w:id="339" w:name="_Toc25997"/>
      <w:bookmarkStart w:id="340" w:name="_Toc95830465"/>
      <w:bookmarkStart w:id="341" w:name="_Toc95830687"/>
      <w:bookmarkStart w:id="342" w:name="_Toc95830579"/>
      <w:r>
        <w:rPr>
          <w:rFonts w:ascii="宋体" w:hAnsi="宋体" w:eastAsia="宋体" w:cs="Times New Roman"/>
          <w:b/>
          <w:bCs w:val="0"/>
          <w:snapToGrid w:val="0"/>
          <w:color w:val="auto"/>
          <w:sz w:val="24"/>
          <w:szCs w:val="24"/>
        </w:rPr>
        <w:t>3.4 投标</w:t>
      </w:r>
      <w:bookmarkEnd w:id="332"/>
      <w:bookmarkEnd w:id="333"/>
      <w:bookmarkEnd w:id="334"/>
      <w:bookmarkEnd w:id="335"/>
      <w:bookmarkEnd w:id="336"/>
      <w:bookmarkEnd w:id="337"/>
      <w:bookmarkEnd w:id="338"/>
      <w:r>
        <w:rPr>
          <w:rFonts w:hint="eastAsia" w:ascii="宋体" w:hAnsi="宋体" w:eastAsia="宋体" w:cs="Times New Roman"/>
          <w:b/>
          <w:bCs w:val="0"/>
          <w:snapToGrid w:val="0"/>
          <w:color w:val="auto"/>
          <w:sz w:val="24"/>
          <w:szCs w:val="24"/>
        </w:rPr>
        <w:t>保证金</w:t>
      </w:r>
      <w:bookmarkEnd w:id="339"/>
      <w:bookmarkEnd w:id="340"/>
      <w:bookmarkEnd w:id="341"/>
      <w:bookmarkEnd w:id="342"/>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w:t>
      </w:r>
      <w:r>
        <w:rPr>
          <w:rFonts w:hint="eastAsia" w:ascii="宋体" w:hAnsi="宋体"/>
          <w:snapToGrid w:val="0"/>
          <w:color w:val="auto"/>
          <w:kern w:val="0"/>
          <w:szCs w:val="21"/>
        </w:rPr>
        <w:t>的</w:t>
      </w:r>
      <w:r>
        <w:rPr>
          <w:rFonts w:ascii="宋体" w:hAnsi="宋体"/>
          <w:snapToGrid w:val="0"/>
          <w:color w:val="auto"/>
          <w:kern w:val="0"/>
          <w:szCs w:val="21"/>
        </w:rPr>
        <w:t>规定递交投标保证金，并作为其投标文件的组成部分。</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w:t>
      </w:r>
      <w:r>
        <w:rPr>
          <w:rFonts w:hint="eastAsia" w:ascii="宋体" w:hAnsi="宋体"/>
          <w:color w:val="auto"/>
          <w:szCs w:val="21"/>
        </w:rPr>
        <w:t>评标委员会将否决其投标。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3.4.3 投标保证金（投标保函）退还：见投标人须知前附表</w:t>
      </w:r>
      <w:r>
        <w:rPr>
          <w:rFonts w:ascii="宋体" w:hAnsi="宋体"/>
          <w:snapToGrid w:val="0"/>
          <w:color w:val="auto"/>
          <w:kern w:val="0"/>
          <w:position w:val="-2"/>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（2）中标人在收到中标通知书后，</w:t>
      </w:r>
      <w:r>
        <w:rPr>
          <w:rFonts w:hint="eastAsia" w:ascii="宋体" w:hAnsi="宋体"/>
          <w:color w:val="auto"/>
          <w:szCs w:val="21"/>
        </w:rPr>
        <w:t>无正当理由拒签合同或未按招标文件规定提交履约</w:t>
      </w:r>
      <w:r>
        <w:rPr>
          <w:rFonts w:hint="eastAsia" w:ascii="宋体" w:hAnsi="宋体"/>
          <w:color w:val="auto"/>
          <w:szCs w:val="21"/>
          <w:lang w:val="en-US" w:eastAsia="zh-CN"/>
        </w:rPr>
        <w:t>保证金</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（3）违反本章第9.2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position w:val="-2"/>
          <w:szCs w:val="21"/>
        </w:rPr>
        <w:t>（4）</w:t>
      </w:r>
      <w:r>
        <w:rPr>
          <w:rFonts w:ascii="宋体" w:hAnsi="宋体"/>
          <w:snapToGrid w:val="0"/>
          <w:color w:val="auto"/>
          <w:kern w:val="0"/>
          <w:szCs w:val="21"/>
        </w:rPr>
        <w:t>法律法规规定的其他情形。</w:t>
      </w:r>
    </w:p>
    <w:p>
      <w:pPr>
        <w:pageBreakBefore w:val="0"/>
        <w:widowControl w:val="0"/>
        <w:tabs>
          <w:tab w:val="left" w:pos="611"/>
          <w:tab w:val="left" w:pos="669"/>
        </w:tabs>
        <w:kinsoku/>
        <w:overflowPunct/>
        <w:topLinePunct w:val="0"/>
        <w:bidi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3.4.5 </w:t>
      </w:r>
      <w:r>
        <w:rPr>
          <w:rFonts w:hint="eastAsia" w:ascii="宋体" w:hAnsi="宋体"/>
          <w:snapToGrid w:val="0"/>
          <w:color w:val="auto"/>
          <w:kern w:val="0"/>
          <w:szCs w:val="21"/>
        </w:rPr>
        <w:t>投标保证金的其他要求：</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kern w:val="0"/>
          <w:szCs w:val="21"/>
        </w:rPr>
      </w:pPr>
      <w:r>
        <w:rPr>
          <w:rFonts w:ascii="宋体" w:hAnsi="宋体"/>
          <w:color w:val="auto"/>
          <w:kern w:val="0"/>
          <w:szCs w:val="21"/>
        </w:rPr>
        <w:t>（1）投标保证金为无条件担保；</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kern w:val="0"/>
          <w:szCs w:val="21"/>
        </w:rPr>
      </w:pPr>
      <w:r>
        <w:rPr>
          <w:rFonts w:ascii="宋体" w:hAnsi="宋体"/>
          <w:color w:val="auto"/>
          <w:kern w:val="0"/>
          <w:szCs w:val="21"/>
        </w:rPr>
        <w:t>（2）投标保证金的受益人为招标人</w:t>
      </w:r>
      <w:r>
        <w:rPr>
          <w:rFonts w:hint="eastAsia" w:ascii="宋体" w:hAnsi="宋体"/>
          <w:color w:val="auto"/>
          <w:kern w:val="0"/>
          <w:szCs w:val="21"/>
        </w:rPr>
        <w:t>。</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43" w:name="_Toc95830580"/>
      <w:bookmarkStart w:id="344" w:name="_Toc277082576"/>
      <w:bookmarkStart w:id="345" w:name="_Toc287607770"/>
      <w:bookmarkStart w:id="346" w:name="_Toc95830466"/>
      <w:bookmarkStart w:id="347" w:name="_Toc287620709"/>
      <w:bookmarkStart w:id="348" w:name="_Toc28754"/>
      <w:bookmarkStart w:id="349" w:name="_Toc430530459"/>
      <w:bookmarkStart w:id="350" w:name="_Toc95830688"/>
      <w:bookmarkStart w:id="351" w:name="_Toc200513150"/>
      <w:bookmarkStart w:id="352" w:name="_Toc224103341"/>
      <w:bookmarkStart w:id="353" w:name="_Toc509218734"/>
      <w:r>
        <w:rPr>
          <w:rFonts w:ascii="宋体" w:hAnsi="宋体" w:eastAsia="宋体" w:cs="Times New Roman"/>
          <w:b/>
          <w:bCs w:val="0"/>
          <w:snapToGrid w:val="0"/>
          <w:color w:val="auto"/>
          <w:sz w:val="24"/>
          <w:szCs w:val="24"/>
        </w:rPr>
        <w:t>3.5 资格审查资料</w:t>
      </w:r>
      <w:bookmarkEnd w:id="343"/>
      <w:bookmarkEnd w:id="344"/>
      <w:bookmarkEnd w:id="345"/>
      <w:bookmarkEnd w:id="346"/>
      <w:bookmarkEnd w:id="347"/>
      <w:bookmarkEnd w:id="348"/>
      <w:bookmarkEnd w:id="349"/>
      <w:bookmarkEnd w:id="350"/>
      <w:bookmarkEnd w:id="351"/>
      <w:bookmarkEnd w:id="352"/>
      <w:bookmarkEnd w:id="353"/>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.4.1项</w:t>
      </w:r>
      <w:r>
        <w:rPr>
          <w:rFonts w:hint="eastAsia" w:ascii="宋体" w:hAnsi="宋体"/>
          <w:color w:val="auto"/>
          <w:kern w:val="0"/>
          <w:szCs w:val="21"/>
        </w:rPr>
        <w:t>中要求的相关证明材料</w:t>
      </w:r>
      <w:r>
        <w:rPr>
          <w:rFonts w:ascii="宋体" w:hAnsi="宋体"/>
          <w:color w:val="auto"/>
          <w:szCs w:val="21"/>
        </w:rPr>
        <w:t>。</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54" w:name="_Toc95830689"/>
      <w:bookmarkStart w:id="355" w:name="_Toc200513151"/>
      <w:bookmarkStart w:id="356" w:name="_Toc277082577"/>
      <w:bookmarkStart w:id="357" w:name="_Toc2467"/>
      <w:bookmarkStart w:id="358" w:name="_Toc509218735"/>
      <w:bookmarkStart w:id="359" w:name="_Toc95830581"/>
      <w:bookmarkStart w:id="360" w:name="_Toc95830467"/>
      <w:bookmarkStart w:id="361" w:name="_Toc287620710"/>
      <w:bookmarkStart w:id="362" w:name="_Toc430530460"/>
      <w:bookmarkStart w:id="363" w:name="_Toc224103342"/>
      <w:bookmarkStart w:id="364" w:name="_Toc287607771"/>
      <w:r>
        <w:rPr>
          <w:rFonts w:ascii="宋体" w:hAnsi="宋体" w:eastAsia="宋体" w:cs="Times New Roman"/>
          <w:b/>
          <w:bCs w:val="0"/>
          <w:snapToGrid w:val="0"/>
          <w:color w:val="auto"/>
          <w:sz w:val="24"/>
          <w:szCs w:val="24"/>
        </w:rPr>
        <w:t>3.6 备选投标方案</w:t>
      </w:r>
      <w:bookmarkEnd w:id="354"/>
      <w:bookmarkEnd w:id="355"/>
      <w:bookmarkEnd w:id="356"/>
      <w:bookmarkEnd w:id="357"/>
      <w:bookmarkEnd w:id="358"/>
      <w:bookmarkEnd w:id="359"/>
      <w:bookmarkEnd w:id="360"/>
      <w:bookmarkEnd w:id="361"/>
      <w:bookmarkEnd w:id="362"/>
      <w:bookmarkEnd w:id="363"/>
      <w:bookmarkEnd w:id="364"/>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65" w:name="_Toc509218736"/>
      <w:bookmarkStart w:id="366" w:name="_Toc224103343"/>
      <w:bookmarkStart w:id="367" w:name="_Toc287620711"/>
      <w:bookmarkStart w:id="368" w:name="_Toc95830690"/>
      <w:bookmarkStart w:id="369" w:name="_Toc287607772"/>
      <w:bookmarkStart w:id="370" w:name="_Toc95830582"/>
      <w:bookmarkStart w:id="371" w:name="_Toc95830468"/>
      <w:bookmarkStart w:id="372" w:name="_Toc277082578"/>
      <w:bookmarkStart w:id="373" w:name="_Toc200513152"/>
      <w:bookmarkStart w:id="374" w:name="_Toc260"/>
      <w:bookmarkStart w:id="375" w:name="_Toc430530461"/>
      <w:r>
        <w:rPr>
          <w:rFonts w:ascii="宋体" w:hAnsi="宋体" w:eastAsia="宋体" w:cs="Times New Roman"/>
          <w:b/>
          <w:bCs w:val="0"/>
          <w:snapToGrid w:val="0"/>
          <w:color w:val="auto"/>
          <w:sz w:val="24"/>
          <w:szCs w:val="24"/>
        </w:rPr>
        <w:t>3.7 投标文件的编制</w:t>
      </w:r>
      <w:bookmarkEnd w:id="365"/>
      <w:bookmarkEnd w:id="366"/>
      <w:bookmarkEnd w:id="367"/>
      <w:bookmarkEnd w:id="368"/>
      <w:bookmarkEnd w:id="369"/>
      <w:bookmarkEnd w:id="370"/>
      <w:bookmarkEnd w:id="371"/>
      <w:bookmarkEnd w:id="372"/>
      <w:bookmarkEnd w:id="373"/>
      <w:bookmarkEnd w:id="374"/>
      <w:bookmarkEnd w:id="375"/>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3.7.1 投标文件应按</w:t>
      </w:r>
      <w:r>
        <w:rPr>
          <w:rFonts w:hint="eastAsia" w:ascii="宋体" w:hAnsi="宋体"/>
          <w:snapToGrid w:val="0"/>
          <w:color w:val="auto"/>
          <w:kern w:val="0"/>
          <w:szCs w:val="21"/>
        </w:rPr>
        <w:t>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w:t>
      </w:r>
      <w:r>
        <w:rPr>
          <w:rFonts w:ascii="宋体" w:hAnsi="宋体"/>
          <w:snapToGrid w:val="0"/>
          <w:color w:val="auto"/>
          <w:kern w:val="0"/>
          <w:szCs w:val="21"/>
        </w:rPr>
        <w:t>“投标文件格式”进行编写，如有必要，可以增加附页，作为投标文件的组成部分。其中，投标函附录在满足招标文件实质性要求的基础上，可以提出比招标文件要求更有利于招标人的承诺。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3.7.2 </w:t>
      </w:r>
      <w:r>
        <w:rPr>
          <w:rFonts w:hint="eastAsia" w:ascii="宋体" w:hAnsi="宋体"/>
          <w:color w:val="auto"/>
          <w:szCs w:val="21"/>
        </w:rPr>
        <w:t>投标文件应当对招标文件有关招标范围、投标有效期、工期、质量标准、发包人要求等实质性内容作出响应。</w:t>
      </w:r>
    </w:p>
    <w:p>
      <w:pPr>
        <w:pStyle w:val="11"/>
        <w:pageBreakBefore w:val="0"/>
        <w:widowControl w:val="0"/>
        <w:kinsoku/>
        <w:wordWrap w:val="0"/>
        <w:overflowPunct/>
        <w:topLinePunct w:val="0"/>
        <w:bidi w:val="0"/>
        <w:spacing w:line="360" w:lineRule="auto"/>
        <w:ind w:firstLine="420" w:firstLineChars="200"/>
        <w:textAlignment w:val="auto"/>
        <w:outlineLvl w:val="9"/>
        <w:rPr>
          <w:rFonts w:ascii="宋体" w:hAnsi="宋体"/>
          <w:snapToGrid w:val="0"/>
          <w:color w:val="auto"/>
          <w:kern w:val="0"/>
          <w:szCs w:val="21"/>
        </w:rPr>
      </w:pPr>
      <w:bookmarkStart w:id="376" w:name="_Toc1655"/>
      <w:bookmarkStart w:id="377" w:name="_Toc16465"/>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w:t>
      </w:r>
      <w:r>
        <w:rPr>
          <w:rFonts w:ascii="宋体" w:hAnsi="宋体"/>
          <w:snapToGrid w:val="0"/>
          <w:color w:val="auto"/>
          <w:kern w:val="0"/>
          <w:szCs w:val="21"/>
        </w:rPr>
        <w:t>见投标人须知前附表</w:t>
      </w:r>
      <w:r>
        <w:rPr>
          <w:rFonts w:ascii="宋体" w:hAnsi="宋体"/>
          <w:snapToGrid w:val="0"/>
          <w:color w:val="auto"/>
          <w:kern w:val="0"/>
          <w:position w:val="-2"/>
          <w:szCs w:val="21"/>
        </w:rPr>
        <w:t>。</w:t>
      </w:r>
      <w:bookmarkEnd w:id="376"/>
      <w:bookmarkEnd w:id="377"/>
    </w:p>
    <w:p>
      <w:pPr>
        <w:pStyle w:val="11"/>
        <w:pageBreakBefore w:val="0"/>
        <w:widowControl w:val="0"/>
        <w:kinsoku/>
        <w:wordWrap w:val="0"/>
        <w:overflowPunct/>
        <w:topLinePunct w:val="0"/>
        <w:bidi w:val="0"/>
        <w:spacing w:line="360" w:lineRule="auto"/>
        <w:ind w:firstLine="420" w:firstLineChars="200"/>
        <w:textAlignment w:val="auto"/>
        <w:outlineLvl w:val="9"/>
        <w:rPr>
          <w:rFonts w:ascii="宋体" w:hAnsi="宋体"/>
          <w:snapToGrid w:val="0"/>
          <w:color w:val="auto"/>
          <w:kern w:val="0"/>
          <w:szCs w:val="21"/>
        </w:rPr>
      </w:pPr>
      <w:bookmarkStart w:id="378" w:name="_Toc24349"/>
      <w:bookmarkStart w:id="379" w:name="_Toc970"/>
      <w:bookmarkStart w:id="380" w:name="_Toc14425"/>
      <w:r>
        <w:rPr>
          <w:rFonts w:ascii="宋体" w:hAnsi="宋体"/>
          <w:snapToGrid w:val="0"/>
          <w:color w:val="auto"/>
          <w:kern w:val="0"/>
          <w:szCs w:val="21"/>
        </w:rPr>
        <w:t>3.7.4</w:t>
      </w:r>
      <w:bookmarkEnd w:id="378"/>
      <w:r>
        <w:rPr>
          <w:rFonts w:ascii="宋体" w:hAnsi="宋体"/>
          <w:snapToGrid w:val="0"/>
          <w:color w:val="auto"/>
          <w:kern w:val="0"/>
          <w:szCs w:val="21"/>
        </w:rPr>
        <w:t xml:space="preserve"> </w:t>
      </w:r>
      <w:r>
        <w:rPr>
          <w:rFonts w:hint="eastAsia" w:hAnsi="宋体"/>
          <w:snapToGrid w:val="0"/>
          <w:color w:val="auto"/>
          <w:kern w:val="0"/>
          <w:szCs w:val="21"/>
          <w:lang w:val="en-US" w:eastAsia="zh-CN"/>
        </w:rPr>
        <w:t>投标文件的份数：</w:t>
      </w:r>
      <w:r>
        <w:rPr>
          <w:rFonts w:ascii="宋体" w:hAnsi="宋体"/>
          <w:snapToGrid w:val="0"/>
          <w:color w:val="auto"/>
          <w:kern w:val="0"/>
          <w:szCs w:val="21"/>
        </w:rPr>
        <w:t>见投标人须知前附表</w:t>
      </w:r>
      <w:r>
        <w:rPr>
          <w:rFonts w:ascii="宋体" w:hAnsi="宋体"/>
          <w:snapToGrid w:val="0"/>
          <w:color w:val="auto"/>
          <w:kern w:val="0"/>
          <w:position w:val="-2"/>
          <w:szCs w:val="21"/>
        </w:rPr>
        <w:t>。</w:t>
      </w:r>
      <w:bookmarkEnd w:id="379"/>
      <w:bookmarkEnd w:id="380"/>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381" w:name="_Toc287607773"/>
      <w:bookmarkStart w:id="382" w:name="_Toc95830691"/>
      <w:bookmarkStart w:id="383" w:name="_Toc200513153"/>
      <w:bookmarkStart w:id="384" w:name="_Toc287620712"/>
      <w:bookmarkStart w:id="385" w:name="_Toc277082579"/>
      <w:bookmarkStart w:id="386" w:name="_Toc509218737"/>
      <w:bookmarkStart w:id="387" w:name="_Toc10045"/>
      <w:bookmarkStart w:id="388" w:name="_Toc430530462"/>
      <w:bookmarkStart w:id="389" w:name="_Toc30001"/>
      <w:bookmarkStart w:id="390" w:name="_Toc10263"/>
      <w:bookmarkStart w:id="391" w:name="_Toc32181"/>
      <w:bookmarkStart w:id="392" w:name="_Toc224103344"/>
      <w:bookmarkStart w:id="393" w:name="_Toc8245"/>
      <w:r>
        <w:rPr>
          <w:rFonts w:ascii="宋体" w:hAnsi="宋体" w:eastAsia="宋体" w:cs="Times New Roman"/>
          <w:b/>
          <w:bCs w:val="0"/>
          <w:snapToGrid w:val="0"/>
          <w:color w:val="auto"/>
          <w:sz w:val="32"/>
          <w:szCs w:val="32"/>
        </w:rPr>
        <w:t>4.投标</w:t>
      </w:r>
      <w:bookmarkEnd w:id="381"/>
      <w:bookmarkEnd w:id="382"/>
      <w:bookmarkEnd w:id="383"/>
      <w:bookmarkEnd w:id="384"/>
      <w:bookmarkEnd w:id="385"/>
      <w:bookmarkEnd w:id="386"/>
      <w:bookmarkEnd w:id="387"/>
      <w:bookmarkEnd w:id="388"/>
      <w:bookmarkEnd w:id="389"/>
      <w:bookmarkEnd w:id="390"/>
      <w:bookmarkEnd w:id="391"/>
      <w:bookmarkEnd w:id="392"/>
      <w:bookmarkEnd w:id="393"/>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394" w:name="_Toc509218738"/>
      <w:bookmarkStart w:id="395" w:name="_Toc287607774"/>
      <w:bookmarkStart w:id="396" w:name="_Toc200513154"/>
      <w:bookmarkStart w:id="397" w:name="_Toc95830470"/>
      <w:bookmarkStart w:id="398" w:name="_Toc224103345"/>
      <w:bookmarkStart w:id="399" w:name="_Toc430530463"/>
      <w:bookmarkStart w:id="400" w:name="_Toc5536"/>
      <w:bookmarkStart w:id="401" w:name="_Toc95830584"/>
      <w:bookmarkStart w:id="402" w:name="_Toc277082580"/>
      <w:bookmarkStart w:id="403" w:name="_Toc95830692"/>
      <w:bookmarkStart w:id="404" w:name="_Toc287620713"/>
      <w:r>
        <w:rPr>
          <w:rFonts w:ascii="宋体" w:hAnsi="宋体" w:eastAsia="宋体" w:cs="Times New Roman"/>
          <w:b/>
          <w:bCs w:val="0"/>
          <w:snapToGrid w:val="0"/>
          <w:color w:val="auto"/>
          <w:sz w:val="24"/>
          <w:szCs w:val="24"/>
        </w:rPr>
        <w:t>4.1 投标文件的密封和标记</w:t>
      </w:r>
      <w:bookmarkEnd w:id="394"/>
      <w:bookmarkEnd w:id="395"/>
      <w:bookmarkEnd w:id="396"/>
      <w:bookmarkEnd w:id="397"/>
      <w:bookmarkEnd w:id="398"/>
      <w:bookmarkEnd w:id="399"/>
      <w:bookmarkEnd w:id="400"/>
      <w:bookmarkEnd w:id="401"/>
      <w:bookmarkEnd w:id="402"/>
      <w:bookmarkEnd w:id="403"/>
      <w:bookmarkEnd w:id="404"/>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bookmarkStart w:id="405" w:name="_Toc95830693"/>
      <w:bookmarkStart w:id="406" w:name="_Toc200513155"/>
      <w:bookmarkStart w:id="407" w:name="_Toc287620714"/>
      <w:bookmarkStart w:id="408" w:name="_Toc430530464"/>
      <w:bookmarkStart w:id="409" w:name="_Toc287607775"/>
      <w:bookmarkStart w:id="410" w:name="_Toc509218739"/>
      <w:bookmarkStart w:id="411" w:name="_Toc224103346"/>
      <w:bookmarkStart w:id="412" w:name="_Toc277082581"/>
      <w:bookmarkStart w:id="413" w:name="_Toc95830471"/>
      <w:bookmarkStart w:id="414" w:name="_Toc95830585"/>
      <w:r>
        <w:rPr>
          <w:rFonts w:hint="eastAsia" w:ascii="宋体" w:hAnsi="宋体" w:eastAsia="宋体" w:cs="Times New Roman"/>
          <w:snapToGrid w:val="0"/>
          <w:color w:val="auto"/>
          <w:kern w:val="0"/>
          <w:szCs w:val="21"/>
        </w:rPr>
        <w:t>4.1.1 投标文件应密封</w:t>
      </w:r>
      <w:r>
        <w:rPr>
          <w:rFonts w:hint="eastAsia" w:ascii="宋体" w:hAnsi="宋体" w:cs="Times New Roman"/>
          <w:snapToGrid w:val="0"/>
          <w:color w:val="auto"/>
          <w:kern w:val="0"/>
          <w:szCs w:val="21"/>
          <w:lang w:eastAsia="zh-CN"/>
        </w:rPr>
        <w:t>：</w:t>
      </w:r>
      <w:r>
        <w:rPr>
          <w:rFonts w:ascii="宋体" w:hAnsi="宋体"/>
          <w:snapToGrid w:val="0"/>
          <w:color w:val="auto"/>
          <w:kern w:val="0"/>
          <w:szCs w:val="21"/>
        </w:rPr>
        <w:t>见投标人须知前附表</w:t>
      </w:r>
      <w:r>
        <w:rPr>
          <w:rFonts w:ascii="宋体" w:hAnsi="宋体"/>
          <w:snapToGrid w:val="0"/>
          <w:color w:val="auto"/>
          <w:kern w:val="0"/>
          <w:position w:val="-2"/>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4.1.2 投标文件封套上应写明的内容见投标人须知前附表。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4.1.3 未按本章第4.1.1项要求密封的投标文件，招标人将予以拒收。</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15" w:name="_Toc6086"/>
      <w:r>
        <w:rPr>
          <w:rFonts w:ascii="宋体" w:hAnsi="宋体" w:eastAsia="宋体" w:cs="Times New Roman"/>
          <w:b/>
          <w:bCs w:val="0"/>
          <w:snapToGrid w:val="0"/>
          <w:color w:val="auto"/>
          <w:sz w:val="24"/>
          <w:szCs w:val="24"/>
        </w:rPr>
        <w:t>4.2 投标文件的递交</w:t>
      </w:r>
      <w:bookmarkEnd w:id="405"/>
      <w:bookmarkEnd w:id="406"/>
      <w:bookmarkEnd w:id="407"/>
      <w:bookmarkEnd w:id="408"/>
      <w:bookmarkEnd w:id="409"/>
      <w:bookmarkEnd w:id="410"/>
      <w:bookmarkEnd w:id="411"/>
      <w:bookmarkEnd w:id="412"/>
      <w:bookmarkEnd w:id="413"/>
      <w:bookmarkEnd w:id="414"/>
      <w:bookmarkEnd w:id="415"/>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逾期送达的或者未送达指定地点的投标文件，招标人不予受理。</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16" w:name="_Toc277082582"/>
      <w:bookmarkStart w:id="417" w:name="_Toc95830472"/>
      <w:bookmarkStart w:id="418" w:name="_Toc287607776"/>
      <w:bookmarkStart w:id="419" w:name="_Toc95830694"/>
      <w:bookmarkStart w:id="420" w:name="_Toc509218740"/>
      <w:bookmarkStart w:id="421" w:name="_Toc430530465"/>
      <w:bookmarkStart w:id="422" w:name="_Toc287620715"/>
      <w:bookmarkStart w:id="423" w:name="_Toc200513156"/>
      <w:bookmarkStart w:id="424" w:name="_Toc224103347"/>
      <w:bookmarkStart w:id="425" w:name="_Toc95830586"/>
      <w:bookmarkStart w:id="426" w:name="_Toc25296"/>
      <w:r>
        <w:rPr>
          <w:rFonts w:ascii="宋体" w:hAnsi="宋体" w:eastAsia="宋体" w:cs="Times New Roman"/>
          <w:b/>
          <w:bCs w:val="0"/>
          <w:snapToGrid w:val="0"/>
          <w:color w:val="auto"/>
          <w:sz w:val="24"/>
          <w:szCs w:val="24"/>
        </w:rPr>
        <w:t>4.3 投标文件的修改与撤回</w:t>
      </w:r>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4.3.1  在投标人须知前附表第2.2.2项规定的投标截止时间前，投标人可以修改或撤回已递交的投标文件，但应以书面形式通知招标人。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4.3.2  投标人修改或撤回已递交投标文件的书面通知应按照本章第3.7.3项的要求</w:t>
      </w:r>
      <w:r>
        <w:rPr>
          <w:rFonts w:hint="eastAsia" w:ascii="宋体" w:hAnsi="宋体"/>
          <w:snapToGrid w:val="0"/>
          <w:color w:val="auto"/>
          <w:kern w:val="0"/>
          <w:position w:val="-2"/>
          <w:szCs w:val="21"/>
        </w:rPr>
        <w:t>签名</w:t>
      </w:r>
      <w:r>
        <w:rPr>
          <w:rFonts w:ascii="宋体" w:hAnsi="宋体"/>
          <w:snapToGrid w:val="0"/>
          <w:color w:val="auto"/>
          <w:kern w:val="0"/>
          <w:position w:val="-2"/>
          <w:szCs w:val="21"/>
        </w:rPr>
        <w:t>或盖章。</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4.3.3  修改的内容为投标文件的组成部分。修</w:t>
      </w:r>
      <w:r>
        <w:rPr>
          <w:rFonts w:ascii="宋体" w:hAnsi="宋体"/>
          <w:snapToGrid w:val="0"/>
          <w:color w:val="auto"/>
          <w:kern w:val="0"/>
          <w:szCs w:val="21"/>
        </w:rPr>
        <w:t>改的投标文件应按照本章第3条、第4条规定进行编制、密封、标记和递交，并标明“修改”字样。</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427" w:name="_Toc277082583"/>
      <w:bookmarkStart w:id="428" w:name="_Toc430530466"/>
      <w:bookmarkStart w:id="429" w:name="_Toc23892"/>
      <w:bookmarkStart w:id="430" w:name="_Toc509218741"/>
      <w:bookmarkStart w:id="431" w:name="_Toc287620716"/>
      <w:bookmarkStart w:id="432" w:name="_Toc224103348"/>
      <w:bookmarkStart w:id="433" w:name="_Toc5674"/>
      <w:bookmarkStart w:id="434" w:name="_Toc10968"/>
      <w:bookmarkStart w:id="435" w:name="_Toc95830695"/>
      <w:bookmarkStart w:id="436" w:name="_Toc200513157"/>
      <w:bookmarkStart w:id="437" w:name="_Toc25389"/>
      <w:bookmarkStart w:id="438" w:name="_Toc287607777"/>
      <w:bookmarkStart w:id="439" w:name="_Toc9919"/>
      <w:r>
        <w:rPr>
          <w:rFonts w:ascii="宋体" w:hAnsi="宋体" w:eastAsia="宋体" w:cs="Times New Roman"/>
          <w:b/>
          <w:bCs w:val="0"/>
          <w:snapToGrid w:val="0"/>
          <w:color w:val="auto"/>
          <w:sz w:val="32"/>
          <w:szCs w:val="32"/>
        </w:rPr>
        <w:t>5.开标</w:t>
      </w:r>
      <w:bookmarkEnd w:id="427"/>
      <w:bookmarkEnd w:id="428"/>
      <w:bookmarkEnd w:id="429"/>
      <w:bookmarkEnd w:id="430"/>
      <w:bookmarkEnd w:id="431"/>
      <w:bookmarkEnd w:id="432"/>
      <w:bookmarkEnd w:id="433"/>
      <w:bookmarkEnd w:id="434"/>
      <w:bookmarkEnd w:id="435"/>
      <w:bookmarkEnd w:id="436"/>
      <w:bookmarkEnd w:id="437"/>
      <w:bookmarkEnd w:id="438"/>
      <w:bookmarkEnd w:id="439"/>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40" w:name="_Toc287607778"/>
      <w:bookmarkStart w:id="441" w:name="_Toc509218742"/>
      <w:bookmarkStart w:id="442" w:name="_Toc95830474"/>
      <w:bookmarkStart w:id="443" w:name="_Toc287620717"/>
      <w:bookmarkStart w:id="444" w:name="_Toc224103349"/>
      <w:bookmarkStart w:id="445" w:name="_Toc95830588"/>
      <w:bookmarkStart w:id="446" w:name="_Toc31705"/>
      <w:bookmarkStart w:id="447" w:name="_Toc277082584"/>
      <w:bookmarkStart w:id="448" w:name="_Toc95830696"/>
      <w:bookmarkStart w:id="449" w:name="_Toc430530467"/>
      <w:bookmarkStart w:id="450" w:name="_Toc200513158"/>
      <w:r>
        <w:rPr>
          <w:rFonts w:ascii="宋体" w:hAnsi="宋体" w:eastAsia="宋体" w:cs="Times New Roman"/>
          <w:b/>
          <w:bCs w:val="0"/>
          <w:snapToGrid w:val="0"/>
          <w:color w:val="auto"/>
          <w:sz w:val="24"/>
          <w:szCs w:val="24"/>
        </w:rPr>
        <w:t>5.1 开标时间和地点</w:t>
      </w:r>
      <w:bookmarkEnd w:id="440"/>
      <w:bookmarkEnd w:id="441"/>
      <w:bookmarkEnd w:id="442"/>
      <w:bookmarkEnd w:id="443"/>
      <w:bookmarkEnd w:id="444"/>
      <w:bookmarkEnd w:id="445"/>
      <w:bookmarkEnd w:id="446"/>
      <w:bookmarkEnd w:id="447"/>
      <w:bookmarkEnd w:id="448"/>
      <w:bookmarkEnd w:id="449"/>
      <w:bookmarkEnd w:id="450"/>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5.1.1</w:t>
      </w:r>
      <w:r>
        <w:rPr>
          <w:rFonts w:ascii="宋体" w:hAnsi="宋体"/>
          <w:snapToGrid w:val="0"/>
          <w:color w:val="auto"/>
          <w:kern w:val="0"/>
          <w:szCs w:val="21"/>
        </w:rPr>
        <w:t xml:space="preserve"> 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51" w:name="_Toc509218743"/>
      <w:bookmarkStart w:id="452" w:name="_Toc95830589"/>
      <w:bookmarkStart w:id="453" w:name="_Toc277082585"/>
      <w:bookmarkStart w:id="454" w:name="_Toc95830697"/>
      <w:bookmarkStart w:id="455" w:name="_Toc200513159"/>
      <w:bookmarkStart w:id="456" w:name="_Toc287607779"/>
      <w:bookmarkStart w:id="457" w:name="_Toc95830475"/>
      <w:bookmarkStart w:id="458" w:name="_Toc287620718"/>
      <w:bookmarkStart w:id="459" w:name="_Toc430530468"/>
      <w:bookmarkStart w:id="460" w:name="_Toc27134"/>
      <w:bookmarkStart w:id="461" w:name="_Toc224103350"/>
      <w:r>
        <w:rPr>
          <w:rFonts w:ascii="宋体" w:hAnsi="宋体" w:eastAsia="宋体" w:cs="Times New Roman"/>
          <w:b/>
          <w:bCs w:val="0"/>
          <w:snapToGrid w:val="0"/>
          <w:color w:val="auto"/>
          <w:sz w:val="24"/>
          <w:szCs w:val="24"/>
        </w:rPr>
        <w:t>5.2 开标程序</w:t>
      </w:r>
      <w:bookmarkEnd w:id="451"/>
      <w:bookmarkEnd w:id="452"/>
      <w:bookmarkEnd w:id="453"/>
      <w:bookmarkEnd w:id="454"/>
      <w:bookmarkEnd w:id="455"/>
      <w:bookmarkEnd w:id="456"/>
      <w:bookmarkEnd w:id="457"/>
      <w:bookmarkEnd w:id="458"/>
      <w:bookmarkEnd w:id="459"/>
      <w:bookmarkEnd w:id="460"/>
      <w:bookmarkEnd w:id="46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bookmarkStart w:id="462" w:name="_Toc277082586"/>
      <w:bookmarkStart w:id="463" w:name="_Toc200513160"/>
      <w:bookmarkStart w:id="464" w:name="_Toc287620719"/>
      <w:bookmarkStart w:id="465" w:name="_Toc287607780"/>
      <w:bookmarkStart w:id="466" w:name="_Toc224103351"/>
      <w:r>
        <w:rPr>
          <w:rFonts w:ascii="宋体" w:hAnsi="宋体"/>
          <w:color w:val="auto"/>
          <w:szCs w:val="21"/>
        </w:rPr>
        <w:t>详见投标人须知前附表。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67" w:name="_Toc95830476"/>
      <w:bookmarkStart w:id="468" w:name="_Toc95830698"/>
      <w:bookmarkStart w:id="469" w:name="_Toc9926"/>
      <w:bookmarkStart w:id="470" w:name="_Toc95830590"/>
      <w:r>
        <w:rPr>
          <w:rFonts w:ascii="宋体" w:hAnsi="宋体" w:eastAsia="宋体" w:cs="Times New Roman"/>
          <w:b/>
          <w:bCs w:val="0"/>
          <w:snapToGrid w:val="0"/>
          <w:color w:val="auto"/>
          <w:sz w:val="24"/>
          <w:szCs w:val="24"/>
        </w:rPr>
        <w:t>5.</w:t>
      </w:r>
      <w:r>
        <w:rPr>
          <w:rFonts w:hint="eastAsia" w:ascii="宋体" w:hAnsi="宋体" w:eastAsia="宋体" w:cs="Times New Roman"/>
          <w:b/>
          <w:bCs w:val="0"/>
          <w:snapToGrid w:val="0"/>
          <w:color w:val="auto"/>
          <w:sz w:val="24"/>
          <w:szCs w:val="24"/>
        </w:rPr>
        <w:t>3</w:t>
      </w:r>
      <w:r>
        <w:rPr>
          <w:rFonts w:ascii="宋体" w:hAnsi="宋体" w:eastAsia="宋体" w:cs="Times New Roman"/>
          <w:b/>
          <w:bCs w:val="0"/>
          <w:snapToGrid w:val="0"/>
          <w:color w:val="auto"/>
          <w:sz w:val="24"/>
          <w:szCs w:val="24"/>
        </w:rPr>
        <w:t xml:space="preserve"> 开标</w:t>
      </w:r>
      <w:r>
        <w:rPr>
          <w:rFonts w:hint="eastAsia" w:ascii="宋体" w:hAnsi="宋体" w:eastAsia="宋体" w:cs="Times New Roman"/>
          <w:b/>
          <w:bCs w:val="0"/>
          <w:snapToGrid w:val="0"/>
          <w:color w:val="auto"/>
          <w:sz w:val="24"/>
          <w:szCs w:val="24"/>
        </w:rPr>
        <w:t>异议</w:t>
      </w:r>
      <w:bookmarkEnd w:id="467"/>
      <w:bookmarkEnd w:id="468"/>
      <w:bookmarkEnd w:id="469"/>
      <w:bookmarkEnd w:id="470"/>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rPr>
        <w:t>。</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471" w:name="_Toc20200"/>
      <w:bookmarkStart w:id="472" w:name="_Toc509218744"/>
      <w:bookmarkStart w:id="473" w:name="_Toc7307"/>
      <w:bookmarkStart w:id="474" w:name="_Toc2999"/>
      <w:bookmarkStart w:id="475" w:name="_Toc95830699"/>
      <w:bookmarkStart w:id="476" w:name="_Toc430530469"/>
      <w:bookmarkStart w:id="477" w:name="_Toc22219"/>
      <w:bookmarkStart w:id="478" w:name="_Toc15282"/>
      <w:r>
        <w:rPr>
          <w:rFonts w:ascii="宋体" w:hAnsi="宋体" w:eastAsia="宋体" w:cs="Times New Roman"/>
          <w:b/>
          <w:bCs w:val="0"/>
          <w:snapToGrid w:val="0"/>
          <w:color w:val="auto"/>
          <w:sz w:val="32"/>
          <w:szCs w:val="32"/>
        </w:rPr>
        <w:t>6.评标</w:t>
      </w:r>
      <w:bookmarkEnd w:id="462"/>
      <w:bookmarkEnd w:id="463"/>
      <w:bookmarkEnd w:id="464"/>
      <w:bookmarkEnd w:id="465"/>
      <w:bookmarkEnd w:id="466"/>
      <w:bookmarkEnd w:id="471"/>
      <w:bookmarkEnd w:id="472"/>
      <w:bookmarkEnd w:id="473"/>
      <w:bookmarkEnd w:id="474"/>
      <w:bookmarkEnd w:id="475"/>
      <w:bookmarkEnd w:id="476"/>
      <w:bookmarkEnd w:id="477"/>
      <w:bookmarkEnd w:id="478"/>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79" w:name="_Toc95830592"/>
      <w:bookmarkStart w:id="480" w:name="_Toc509218745"/>
      <w:bookmarkStart w:id="481" w:name="_Toc14392"/>
      <w:bookmarkStart w:id="482" w:name="_Toc287607781"/>
      <w:bookmarkStart w:id="483" w:name="_Toc224103352"/>
      <w:bookmarkStart w:id="484" w:name="_Toc277082587"/>
      <w:bookmarkStart w:id="485" w:name="_Toc95830478"/>
      <w:bookmarkStart w:id="486" w:name="_Toc95830700"/>
      <w:bookmarkStart w:id="487" w:name="_Toc200513161"/>
      <w:bookmarkStart w:id="488" w:name="_Toc287620720"/>
      <w:bookmarkStart w:id="489" w:name="_Toc430530470"/>
      <w:r>
        <w:rPr>
          <w:rFonts w:ascii="宋体" w:hAnsi="宋体" w:eastAsia="宋体" w:cs="Times New Roman"/>
          <w:b/>
          <w:bCs w:val="0"/>
          <w:snapToGrid w:val="0"/>
          <w:color w:val="auto"/>
          <w:sz w:val="24"/>
          <w:szCs w:val="24"/>
        </w:rPr>
        <w:t>6.1 评标委员会</w:t>
      </w:r>
      <w:bookmarkEnd w:id="479"/>
      <w:bookmarkEnd w:id="480"/>
      <w:bookmarkEnd w:id="481"/>
      <w:bookmarkEnd w:id="482"/>
      <w:bookmarkEnd w:id="483"/>
      <w:bookmarkEnd w:id="484"/>
      <w:bookmarkEnd w:id="485"/>
      <w:bookmarkEnd w:id="486"/>
      <w:bookmarkEnd w:id="487"/>
      <w:bookmarkEnd w:id="488"/>
      <w:bookmarkEnd w:id="489"/>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b/>
          <w:snapToGrid w:val="0"/>
          <w:color w:val="auto"/>
          <w:kern w:val="0"/>
          <w:szCs w:val="21"/>
        </w:rPr>
      </w:pPr>
      <w:r>
        <w:rPr>
          <w:rFonts w:ascii="宋体" w:hAnsi="宋体"/>
          <w:snapToGrid w:val="0"/>
          <w:color w:val="auto"/>
          <w:kern w:val="0"/>
          <w:szCs w:val="21"/>
        </w:rPr>
        <w:t>6.1.1 评标由招标人</w:t>
      </w:r>
      <w:r>
        <w:rPr>
          <w:rFonts w:hint="eastAsia" w:ascii="宋体" w:hAnsi="宋体"/>
          <w:snapToGrid w:val="0"/>
          <w:color w:val="auto"/>
          <w:kern w:val="0"/>
          <w:szCs w:val="21"/>
          <w:lang w:val="en-US" w:eastAsia="zh-CN"/>
        </w:rPr>
        <w:t>自行</w:t>
      </w:r>
      <w:r>
        <w:rPr>
          <w:rFonts w:ascii="宋体" w:hAnsi="宋体"/>
          <w:snapToGrid w:val="0"/>
          <w:color w:val="auto"/>
          <w:kern w:val="0"/>
          <w:szCs w:val="21"/>
        </w:rPr>
        <w:t>组建的评标委员会负责。</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（2）与投标人有利害关系，可能影响对投标公正评审的；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）曾因在招标、评标以及其他与招标投标有关活动中从事违法行为而受过行政处罚或刑事处罚的</w:t>
      </w:r>
      <w:r>
        <w:rPr>
          <w:rFonts w:hint="eastAsia"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法律法规规定的其他情形。</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6.1.3 </w:t>
      </w:r>
      <w:r>
        <w:rPr>
          <w:rFonts w:hint="eastAsia" w:ascii="宋体" w:hAnsi="宋体"/>
          <w:snapToGrid w:val="0"/>
          <w:color w:val="auto"/>
          <w:kern w:val="0"/>
          <w:szCs w:val="21"/>
        </w:rPr>
        <w:t>评标过程中，评标委员会成员有回避事由、擅离职守或者因健康等原因不能继续评标的，应当及时更换。被更换的评标委员会成员作出的评审结论无效，由更换后的评标委员会成员重新进行评审。</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490" w:name="_Toc287620721"/>
      <w:bookmarkStart w:id="491" w:name="_Toc95830479"/>
      <w:bookmarkStart w:id="492" w:name="_Toc95830701"/>
      <w:bookmarkStart w:id="493" w:name="_Toc277082588"/>
      <w:bookmarkStart w:id="494" w:name="_Toc224103353"/>
      <w:bookmarkStart w:id="495" w:name="_Toc430530471"/>
      <w:bookmarkStart w:id="496" w:name="_Toc22826"/>
      <w:bookmarkStart w:id="497" w:name="_Toc287607782"/>
      <w:bookmarkStart w:id="498" w:name="_Toc200513162"/>
      <w:bookmarkStart w:id="499" w:name="_Toc509218746"/>
      <w:bookmarkStart w:id="500" w:name="_Toc95830593"/>
      <w:r>
        <w:rPr>
          <w:rFonts w:ascii="宋体" w:hAnsi="宋体" w:eastAsia="宋体" w:cs="Times New Roman"/>
          <w:b/>
          <w:bCs w:val="0"/>
          <w:snapToGrid w:val="0"/>
          <w:color w:val="auto"/>
          <w:sz w:val="24"/>
          <w:szCs w:val="24"/>
        </w:rPr>
        <w:t>6.2 评标原则</w:t>
      </w:r>
      <w:bookmarkEnd w:id="490"/>
      <w:bookmarkEnd w:id="491"/>
      <w:bookmarkEnd w:id="492"/>
      <w:bookmarkEnd w:id="493"/>
      <w:bookmarkEnd w:id="494"/>
      <w:bookmarkEnd w:id="495"/>
      <w:bookmarkEnd w:id="496"/>
      <w:bookmarkEnd w:id="497"/>
      <w:bookmarkEnd w:id="498"/>
      <w:bookmarkEnd w:id="499"/>
      <w:bookmarkEnd w:id="500"/>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01" w:name="_Toc200513163"/>
      <w:bookmarkStart w:id="502" w:name="_Toc224103354"/>
      <w:bookmarkStart w:id="503" w:name="_Toc430530472"/>
      <w:bookmarkStart w:id="504" w:name="_Toc95830594"/>
      <w:bookmarkStart w:id="505" w:name="_Toc287620722"/>
      <w:bookmarkStart w:id="506" w:name="_Toc95830480"/>
      <w:bookmarkStart w:id="507" w:name="_Toc509218747"/>
      <w:bookmarkStart w:id="508" w:name="_Toc95830702"/>
      <w:bookmarkStart w:id="509" w:name="_Toc6563"/>
      <w:bookmarkStart w:id="510" w:name="_Toc287607783"/>
      <w:bookmarkStart w:id="511" w:name="_Toc277082589"/>
      <w:r>
        <w:rPr>
          <w:rFonts w:ascii="宋体" w:hAnsi="宋体" w:eastAsia="宋体" w:cs="Times New Roman"/>
          <w:b/>
          <w:bCs w:val="0"/>
          <w:snapToGrid w:val="0"/>
          <w:color w:val="auto"/>
          <w:sz w:val="24"/>
          <w:szCs w:val="24"/>
        </w:rPr>
        <w:t>6.3 评标</w:t>
      </w:r>
      <w:bookmarkEnd w:id="501"/>
      <w:bookmarkEnd w:id="502"/>
      <w:bookmarkEnd w:id="503"/>
      <w:bookmarkEnd w:id="504"/>
      <w:bookmarkEnd w:id="505"/>
      <w:bookmarkEnd w:id="506"/>
      <w:bookmarkEnd w:id="507"/>
      <w:bookmarkEnd w:id="508"/>
      <w:bookmarkEnd w:id="509"/>
      <w:bookmarkEnd w:id="510"/>
      <w:bookmarkEnd w:id="51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评标委员会按照第三章“评标办法”规定的方法、评审因素、标准和程序对投标文件进行评审。第三章“评标办法”没有规定的方法、评审因素和标准，不作为评标依据。</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512" w:name="_Toc277082590"/>
      <w:bookmarkStart w:id="513" w:name="_Toc17513"/>
      <w:bookmarkStart w:id="514" w:name="_Toc287607784"/>
      <w:bookmarkStart w:id="515" w:name="_Toc8098"/>
      <w:bookmarkStart w:id="516" w:name="_Toc200513164"/>
      <w:bookmarkStart w:id="517" w:name="_Toc509218748"/>
      <w:bookmarkStart w:id="518" w:name="_Toc95830703"/>
      <w:bookmarkStart w:id="519" w:name="_Toc13075"/>
      <w:bookmarkStart w:id="520" w:name="_Toc224103355"/>
      <w:bookmarkStart w:id="521" w:name="_Toc430530473"/>
      <w:bookmarkStart w:id="522" w:name="_Toc287620723"/>
      <w:bookmarkStart w:id="523" w:name="_Toc27197"/>
      <w:bookmarkStart w:id="524" w:name="_Toc20284"/>
      <w:r>
        <w:rPr>
          <w:rFonts w:ascii="宋体" w:hAnsi="宋体" w:eastAsia="宋体" w:cs="Times New Roman"/>
          <w:b/>
          <w:bCs w:val="0"/>
          <w:snapToGrid w:val="0"/>
          <w:color w:val="auto"/>
          <w:sz w:val="32"/>
          <w:szCs w:val="32"/>
        </w:rPr>
        <w:t>7.合同授予</w:t>
      </w:r>
      <w:bookmarkEnd w:id="512"/>
      <w:bookmarkEnd w:id="513"/>
      <w:bookmarkEnd w:id="514"/>
      <w:bookmarkEnd w:id="515"/>
      <w:bookmarkEnd w:id="516"/>
      <w:bookmarkEnd w:id="517"/>
      <w:bookmarkEnd w:id="518"/>
      <w:bookmarkEnd w:id="519"/>
      <w:bookmarkEnd w:id="520"/>
      <w:bookmarkEnd w:id="521"/>
      <w:bookmarkEnd w:id="522"/>
      <w:bookmarkEnd w:id="523"/>
      <w:bookmarkEnd w:id="524"/>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25" w:name="_Toc224103356"/>
      <w:bookmarkStart w:id="526" w:name="_Toc3728"/>
      <w:bookmarkStart w:id="527" w:name="_Toc509218749"/>
      <w:bookmarkStart w:id="528" w:name="_Toc200513165"/>
      <w:bookmarkStart w:id="529" w:name="_Toc95830596"/>
      <w:bookmarkStart w:id="530" w:name="_Toc95830482"/>
      <w:bookmarkStart w:id="531" w:name="_Toc277082591"/>
      <w:bookmarkStart w:id="532" w:name="_Toc287607785"/>
      <w:bookmarkStart w:id="533" w:name="_Toc430530474"/>
      <w:bookmarkStart w:id="534" w:name="_Toc95830704"/>
      <w:bookmarkStart w:id="535" w:name="_Toc287620724"/>
      <w:r>
        <w:rPr>
          <w:rFonts w:ascii="宋体" w:hAnsi="宋体" w:eastAsia="宋体" w:cs="Times New Roman"/>
          <w:b/>
          <w:bCs w:val="0"/>
          <w:snapToGrid w:val="0"/>
          <w:color w:val="auto"/>
          <w:sz w:val="24"/>
          <w:szCs w:val="24"/>
        </w:rPr>
        <w:t>7.1 定标方式</w:t>
      </w:r>
      <w:bookmarkEnd w:id="525"/>
      <w:bookmarkEnd w:id="526"/>
      <w:bookmarkEnd w:id="527"/>
      <w:bookmarkEnd w:id="528"/>
      <w:bookmarkEnd w:id="529"/>
      <w:bookmarkEnd w:id="530"/>
      <w:bookmarkEnd w:id="531"/>
      <w:bookmarkEnd w:id="532"/>
      <w:bookmarkEnd w:id="533"/>
      <w:bookmarkEnd w:id="534"/>
      <w:bookmarkEnd w:id="535"/>
    </w:p>
    <w:p>
      <w:pPr>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招标人依据评标委员会推荐的中标候选人确定中标人</w:t>
      </w:r>
      <w:r>
        <w:rPr>
          <w:rFonts w:ascii="宋体" w:hAnsi="宋体"/>
          <w:color w:val="auto"/>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36" w:name="_Toc509218750"/>
      <w:bookmarkStart w:id="537" w:name="_Toc430530475"/>
      <w:bookmarkStart w:id="538" w:name="_Toc95830483"/>
      <w:bookmarkStart w:id="539" w:name="_Toc95830597"/>
      <w:bookmarkStart w:id="540" w:name="_Toc15013"/>
      <w:bookmarkStart w:id="541" w:name="_Toc95830705"/>
      <w:r>
        <w:rPr>
          <w:rFonts w:ascii="宋体" w:hAnsi="宋体" w:eastAsia="宋体" w:cs="Times New Roman"/>
          <w:b/>
          <w:bCs w:val="0"/>
          <w:snapToGrid w:val="0"/>
          <w:color w:val="auto"/>
          <w:sz w:val="24"/>
          <w:szCs w:val="24"/>
        </w:rPr>
        <w:t>7.2 中标</w:t>
      </w:r>
      <w:bookmarkEnd w:id="536"/>
      <w:bookmarkEnd w:id="537"/>
      <w:r>
        <w:rPr>
          <w:rFonts w:hint="eastAsia" w:ascii="宋体" w:hAnsi="宋体" w:eastAsia="宋体" w:cs="Times New Roman"/>
          <w:b/>
          <w:bCs w:val="0"/>
          <w:snapToGrid w:val="0"/>
          <w:color w:val="auto"/>
          <w:sz w:val="24"/>
          <w:szCs w:val="24"/>
        </w:rPr>
        <w:t>公示</w:t>
      </w:r>
      <w:bookmarkEnd w:id="538"/>
      <w:bookmarkEnd w:id="539"/>
      <w:bookmarkEnd w:id="540"/>
      <w:bookmarkEnd w:id="54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招标人在投标人须知前附表规定的媒介公示中标人。</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42" w:name="_Toc95830484"/>
      <w:bookmarkStart w:id="543" w:name="_Toc6377"/>
      <w:bookmarkStart w:id="544" w:name="_Toc95830598"/>
      <w:bookmarkStart w:id="545" w:name="_Toc95830706"/>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3</w:t>
      </w:r>
      <w:r>
        <w:rPr>
          <w:rFonts w:ascii="宋体" w:hAnsi="宋体" w:eastAsia="宋体" w:cs="Times New Roman"/>
          <w:b/>
          <w:bCs w:val="0"/>
          <w:snapToGrid w:val="0"/>
          <w:color w:val="auto"/>
          <w:sz w:val="24"/>
          <w:szCs w:val="24"/>
        </w:rPr>
        <w:t xml:space="preserve"> 中标通知</w:t>
      </w:r>
      <w:bookmarkEnd w:id="542"/>
      <w:bookmarkEnd w:id="543"/>
      <w:bookmarkEnd w:id="544"/>
      <w:bookmarkEnd w:id="545"/>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在本章第 3.3 款规定的投标有效期内，且未有异议与投诉，招标人以书面形式向中标人发出中标通知书</w:t>
      </w:r>
      <w:r>
        <w:rPr>
          <w:rFonts w:hint="eastAsia" w:ascii="宋体" w:hAnsi="宋体"/>
          <w:color w:val="auto"/>
          <w:szCs w:val="21"/>
        </w:rPr>
        <w:t>。</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46" w:name="_Toc287607787"/>
      <w:bookmarkStart w:id="547" w:name="_Toc224103358"/>
      <w:bookmarkStart w:id="548" w:name="_Toc430530476"/>
      <w:bookmarkStart w:id="549" w:name="_Toc3466"/>
      <w:bookmarkStart w:id="550" w:name="_Toc200513167"/>
      <w:bookmarkStart w:id="551" w:name="_Toc95830599"/>
      <w:bookmarkStart w:id="552" w:name="_Toc95830707"/>
      <w:bookmarkStart w:id="553" w:name="_Toc277082593"/>
      <w:bookmarkStart w:id="554" w:name="_Toc287620726"/>
      <w:bookmarkStart w:id="555" w:name="_Toc509218751"/>
      <w:bookmarkStart w:id="556" w:name="_Toc95830485"/>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4</w:t>
      </w:r>
      <w:r>
        <w:rPr>
          <w:rFonts w:ascii="宋体" w:hAnsi="宋体" w:eastAsia="宋体" w:cs="Times New Roman"/>
          <w:b/>
          <w:bCs w:val="0"/>
          <w:snapToGrid w:val="0"/>
          <w:color w:val="auto"/>
          <w:sz w:val="24"/>
          <w:szCs w:val="24"/>
        </w:rPr>
        <w:t xml:space="preserve"> 履约担保</w:t>
      </w:r>
      <w:bookmarkEnd w:id="546"/>
      <w:bookmarkEnd w:id="547"/>
      <w:bookmarkEnd w:id="548"/>
      <w:bookmarkEnd w:id="549"/>
      <w:bookmarkEnd w:id="550"/>
      <w:bookmarkEnd w:id="551"/>
      <w:bookmarkEnd w:id="552"/>
      <w:bookmarkEnd w:id="553"/>
      <w:bookmarkEnd w:id="554"/>
      <w:bookmarkEnd w:id="555"/>
      <w:bookmarkEnd w:id="556"/>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color w:val="auto"/>
          <w:szCs w:val="21"/>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 xml:space="preserve">.1 </w:t>
      </w:r>
      <w:r>
        <w:rPr>
          <w:rFonts w:hint="eastAsia" w:ascii="宋体" w:hAnsi="宋体"/>
          <w:color w:val="auto"/>
          <w:szCs w:val="21"/>
        </w:rPr>
        <w:t>在签订合同前，中标人应按投标人须知前附表规定的担保形式和招标文件第四章“合同条款及格式”规定的或者事先经过招标人书面认可的履约担保格式向招标人提交履约担保。履约担保金额为中标合同金额的</w:t>
      </w:r>
      <w:r>
        <w:rPr>
          <w:rFonts w:hint="eastAsia" w:ascii="宋体" w:hAnsi="宋体"/>
          <w:color w:val="auto"/>
          <w:szCs w:val="21"/>
          <w:lang w:val="en-US" w:eastAsia="zh-CN"/>
        </w:rPr>
        <w:t>5</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.2 中标人不能按本章第7.</w:t>
      </w:r>
      <w:r>
        <w:rPr>
          <w:rFonts w:hint="eastAsia" w:ascii="宋体" w:hAnsi="宋体"/>
          <w:snapToGrid w:val="0"/>
          <w:color w:val="auto"/>
          <w:kern w:val="0"/>
          <w:szCs w:val="21"/>
        </w:rPr>
        <w:t>4</w:t>
      </w:r>
      <w:r>
        <w:rPr>
          <w:rFonts w:ascii="宋体" w:hAnsi="宋体"/>
          <w:snapToGrid w:val="0"/>
          <w:color w:val="auto"/>
          <w:kern w:val="0"/>
          <w:szCs w:val="21"/>
        </w:rPr>
        <w:t>.1项要求提交履约担保的，视为放弃中标，其投标保证金不予退还，给招标人造成的损失超过投标保证金数额的，中标人还应当对超过部分予以赔偿。</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57" w:name="_Toc7311"/>
      <w:bookmarkStart w:id="558" w:name="_Toc287607788"/>
      <w:bookmarkStart w:id="559" w:name="_Toc95830600"/>
      <w:bookmarkStart w:id="560" w:name="_Toc224103359"/>
      <w:bookmarkStart w:id="561" w:name="_Toc430530477"/>
      <w:bookmarkStart w:id="562" w:name="_Toc277082594"/>
      <w:bookmarkStart w:id="563" w:name="_Toc287620727"/>
      <w:bookmarkStart w:id="564" w:name="_Toc200513168"/>
      <w:bookmarkStart w:id="565" w:name="_Toc509218752"/>
      <w:bookmarkStart w:id="566" w:name="_Toc95830486"/>
      <w:bookmarkStart w:id="567" w:name="_Toc95830708"/>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5</w:t>
      </w:r>
      <w:r>
        <w:rPr>
          <w:rFonts w:ascii="宋体" w:hAnsi="宋体" w:eastAsia="宋体" w:cs="Times New Roman"/>
          <w:b/>
          <w:bCs w:val="0"/>
          <w:snapToGrid w:val="0"/>
          <w:color w:val="auto"/>
          <w:sz w:val="24"/>
          <w:szCs w:val="24"/>
        </w:rPr>
        <w:t xml:space="preserve"> 签订合同</w:t>
      </w:r>
      <w:bookmarkEnd w:id="557"/>
      <w:bookmarkEnd w:id="558"/>
      <w:bookmarkEnd w:id="559"/>
      <w:bookmarkEnd w:id="560"/>
      <w:bookmarkEnd w:id="561"/>
      <w:bookmarkEnd w:id="562"/>
      <w:bookmarkEnd w:id="563"/>
      <w:bookmarkEnd w:id="564"/>
      <w:bookmarkEnd w:id="565"/>
      <w:bookmarkEnd w:id="566"/>
      <w:bookmarkEnd w:id="567"/>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.1 招标人和中标人应当自中标通知书发出之日起 30 天内，根据招标文件和中标人的投标文件订立书面合同。中标人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不与招标人签订合同，在签订合同时向招标人提出附加条件或者更改合同实质性内容的，</w:t>
      </w:r>
      <w:r>
        <w:rPr>
          <w:rFonts w:ascii="宋体" w:hAnsi="宋体"/>
          <w:snapToGrid w:val="0"/>
          <w:color w:val="auto"/>
          <w:kern w:val="0"/>
          <w:szCs w:val="21"/>
        </w:rPr>
        <w:t>招标人取消其中标资格，其投标保证金不予退还；给招标人造成的损失超过投标保证金数额的，中标人还应当对超过部分予以赔偿。</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.2 发出中标通知书后，招标人无正当理由拒签合同的，其投标保证金不予退还；给招标人造成的损失超过投标保证金数额的，中标人还应当对超过部分予以赔偿。</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568" w:name="_Toc509218753"/>
      <w:bookmarkStart w:id="569" w:name="_Toc5940"/>
      <w:bookmarkStart w:id="570" w:name="_Toc95830709"/>
      <w:bookmarkStart w:id="571" w:name="_Toc287620728"/>
      <w:bookmarkStart w:id="572" w:name="_Toc224103360"/>
      <w:bookmarkStart w:id="573" w:name="_Toc287607789"/>
      <w:bookmarkStart w:id="574" w:name="_Toc200513169"/>
      <w:bookmarkStart w:id="575" w:name="_Toc19481"/>
      <w:bookmarkStart w:id="576" w:name="_Toc277082595"/>
      <w:bookmarkStart w:id="577" w:name="_Toc14068"/>
      <w:bookmarkStart w:id="578" w:name="_Toc30491"/>
      <w:bookmarkStart w:id="579" w:name="_Toc430530478"/>
      <w:bookmarkStart w:id="580" w:name="_Toc29768"/>
      <w:r>
        <w:rPr>
          <w:rFonts w:ascii="宋体" w:hAnsi="宋体" w:eastAsia="宋体" w:cs="Times New Roman"/>
          <w:b/>
          <w:bCs w:val="0"/>
          <w:snapToGrid w:val="0"/>
          <w:color w:val="auto"/>
          <w:sz w:val="32"/>
          <w:szCs w:val="32"/>
        </w:rPr>
        <w:t>8.重新招标和不再招标</w:t>
      </w:r>
      <w:bookmarkEnd w:id="568"/>
      <w:bookmarkEnd w:id="569"/>
      <w:bookmarkEnd w:id="570"/>
      <w:bookmarkEnd w:id="571"/>
      <w:bookmarkEnd w:id="572"/>
      <w:bookmarkEnd w:id="573"/>
      <w:bookmarkEnd w:id="574"/>
      <w:bookmarkEnd w:id="575"/>
      <w:bookmarkEnd w:id="576"/>
      <w:bookmarkEnd w:id="577"/>
      <w:bookmarkEnd w:id="578"/>
      <w:bookmarkEnd w:id="579"/>
      <w:bookmarkEnd w:id="580"/>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81" w:name="_Toc200513170"/>
      <w:bookmarkStart w:id="582" w:name="_Toc224103361"/>
      <w:bookmarkStart w:id="583" w:name="_Toc287607790"/>
      <w:bookmarkStart w:id="584" w:name="_Toc277082596"/>
      <w:bookmarkStart w:id="585" w:name="_Toc509218754"/>
      <w:bookmarkStart w:id="586" w:name="_Toc430530479"/>
      <w:bookmarkStart w:id="587" w:name="_Toc287620729"/>
      <w:bookmarkStart w:id="588" w:name="_Toc95830488"/>
      <w:bookmarkStart w:id="589" w:name="_Toc95830602"/>
      <w:bookmarkStart w:id="590" w:name="_Toc9431"/>
      <w:bookmarkStart w:id="591" w:name="_Toc95830710"/>
      <w:r>
        <w:rPr>
          <w:rFonts w:ascii="宋体" w:hAnsi="宋体" w:eastAsia="宋体" w:cs="Times New Roman"/>
          <w:b/>
          <w:bCs w:val="0"/>
          <w:snapToGrid w:val="0"/>
          <w:color w:val="auto"/>
          <w:sz w:val="24"/>
          <w:szCs w:val="24"/>
        </w:rPr>
        <w:t>8.1 重新招标</w:t>
      </w:r>
      <w:bookmarkEnd w:id="581"/>
      <w:bookmarkEnd w:id="582"/>
      <w:bookmarkEnd w:id="583"/>
      <w:bookmarkEnd w:id="584"/>
      <w:bookmarkEnd w:id="585"/>
      <w:bookmarkEnd w:id="586"/>
      <w:bookmarkEnd w:id="587"/>
      <w:r>
        <w:rPr>
          <w:rFonts w:hint="eastAsia" w:ascii="宋体" w:hAnsi="宋体" w:eastAsia="宋体" w:cs="Times New Roman"/>
          <w:b/>
          <w:bCs w:val="0"/>
          <w:snapToGrid w:val="0"/>
          <w:color w:val="auto"/>
          <w:sz w:val="24"/>
          <w:szCs w:val="24"/>
        </w:rPr>
        <w:t>的情形</w:t>
      </w:r>
      <w:bookmarkEnd w:id="588"/>
      <w:bookmarkEnd w:id="589"/>
      <w:bookmarkEnd w:id="590"/>
      <w:bookmarkEnd w:id="591"/>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有下列情形之一的，招标人将重新招标：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（1）投标截止时间止，投标人少于 3 个的；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（2）经评标委员会评审后否决所有投标的；</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（4）法律法规规定的其他情形。</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592" w:name="_Toc430530480"/>
      <w:bookmarkStart w:id="593" w:name="_Toc509218755"/>
      <w:bookmarkStart w:id="594" w:name="_Toc95830711"/>
      <w:bookmarkStart w:id="595" w:name="_Toc224103362"/>
      <w:bookmarkStart w:id="596" w:name="_Toc277082597"/>
      <w:bookmarkStart w:id="597" w:name="_Toc25903"/>
      <w:bookmarkStart w:id="598" w:name="_Toc287620730"/>
      <w:bookmarkStart w:id="599" w:name="_Toc287607791"/>
      <w:bookmarkStart w:id="600" w:name="_Toc95830603"/>
      <w:bookmarkStart w:id="601" w:name="_Toc200513171"/>
      <w:bookmarkStart w:id="602" w:name="_Toc95830489"/>
      <w:r>
        <w:rPr>
          <w:rFonts w:ascii="宋体" w:hAnsi="宋体" w:eastAsia="宋体" w:cs="Times New Roman"/>
          <w:b/>
          <w:bCs w:val="0"/>
          <w:snapToGrid w:val="0"/>
          <w:color w:val="auto"/>
          <w:sz w:val="24"/>
          <w:szCs w:val="24"/>
        </w:rPr>
        <w:t xml:space="preserve">8.2 </w:t>
      </w:r>
      <w:r>
        <w:rPr>
          <w:rFonts w:hint="eastAsia" w:ascii="宋体" w:hAnsi="宋体" w:eastAsia="宋体" w:cs="Times New Roman"/>
          <w:b/>
          <w:bCs w:val="0"/>
          <w:snapToGrid w:val="0"/>
          <w:color w:val="auto"/>
          <w:sz w:val="24"/>
          <w:szCs w:val="24"/>
        </w:rPr>
        <w:t>重新</w:t>
      </w:r>
      <w:r>
        <w:rPr>
          <w:rFonts w:ascii="宋体" w:hAnsi="宋体" w:eastAsia="宋体" w:cs="Times New Roman"/>
          <w:b/>
          <w:bCs w:val="0"/>
          <w:snapToGrid w:val="0"/>
          <w:color w:val="auto"/>
          <w:sz w:val="24"/>
          <w:szCs w:val="24"/>
        </w:rPr>
        <w:t>招标和不再招标</w:t>
      </w:r>
      <w:bookmarkEnd w:id="592"/>
      <w:bookmarkEnd w:id="593"/>
      <w:bookmarkEnd w:id="594"/>
      <w:bookmarkEnd w:id="595"/>
      <w:bookmarkEnd w:id="596"/>
      <w:bookmarkEnd w:id="597"/>
      <w:bookmarkEnd w:id="598"/>
      <w:bookmarkEnd w:id="599"/>
      <w:bookmarkEnd w:id="600"/>
      <w:bookmarkEnd w:id="601"/>
      <w:bookmarkEnd w:id="602"/>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lang w:val="en"/>
        </w:rPr>
        <w:t>重新招标的投标人仍然少于三个的，按照规定的程序开标和评标。重新招标经评审有有效投标人的，应当依法确定中标候选人；无有效投标人的，不再进行招标，</w:t>
      </w:r>
      <w:r>
        <w:rPr>
          <w:rFonts w:hint="eastAsia" w:ascii="宋体" w:hAnsi="宋体"/>
          <w:snapToGrid w:val="0"/>
          <w:color w:val="auto"/>
          <w:kern w:val="0"/>
          <w:szCs w:val="21"/>
          <w:lang w:val="en-US" w:eastAsia="zh-CN"/>
        </w:rPr>
        <w:t>由招标人自行确定</w:t>
      </w:r>
      <w:r>
        <w:rPr>
          <w:rFonts w:ascii="宋体" w:hAnsi="宋体"/>
          <w:snapToGrid w:val="0"/>
          <w:color w:val="auto"/>
          <w:kern w:val="0"/>
          <w:szCs w:val="21"/>
          <w:lang w:val="en"/>
        </w:rPr>
        <w:t>。</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603" w:name="_Toc224103363"/>
      <w:bookmarkStart w:id="604" w:name="_Toc509218756"/>
      <w:bookmarkStart w:id="605" w:name="_Toc200513172"/>
      <w:bookmarkStart w:id="606" w:name="_Toc430530481"/>
      <w:bookmarkStart w:id="607" w:name="_Toc95830712"/>
      <w:bookmarkStart w:id="608" w:name="_Toc25086"/>
      <w:bookmarkStart w:id="609" w:name="_Toc277082598"/>
      <w:bookmarkStart w:id="610" w:name="_Toc15504"/>
      <w:bookmarkStart w:id="611" w:name="_Toc15341"/>
      <w:bookmarkStart w:id="612" w:name="_Toc287620731"/>
      <w:bookmarkStart w:id="613" w:name="_Toc287607792"/>
      <w:bookmarkStart w:id="614" w:name="_Toc660"/>
      <w:bookmarkStart w:id="615" w:name="_Toc18677"/>
      <w:r>
        <w:rPr>
          <w:rFonts w:ascii="宋体" w:hAnsi="宋体" w:eastAsia="宋体" w:cs="Times New Roman"/>
          <w:b/>
          <w:bCs w:val="0"/>
          <w:snapToGrid w:val="0"/>
          <w:color w:val="auto"/>
          <w:sz w:val="32"/>
          <w:szCs w:val="32"/>
        </w:rPr>
        <w:t>9.纪律和监督</w:t>
      </w:r>
      <w:bookmarkEnd w:id="603"/>
      <w:bookmarkEnd w:id="604"/>
      <w:bookmarkEnd w:id="605"/>
      <w:bookmarkEnd w:id="606"/>
      <w:bookmarkEnd w:id="607"/>
      <w:bookmarkEnd w:id="608"/>
      <w:bookmarkEnd w:id="609"/>
      <w:bookmarkEnd w:id="610"/>
      <w:bookmarkEnd w:id="611"/>
      <w:bookmarkEnd w:id="612"/>
      <w:bookmarkEnd w:id="613"/>
      <w:bookmarkEnd w:id="614"/>
      <w:bookmarkEnd w:id="615"/>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616" w:name="_Toc224103364"/>
      <w:bookmarkStart w:id="617" w:name="_Toc430530482"/>
      <w:bookmarkStart w:id="618" w:name="_Toc277082599"/>
      <w:bookmarkStart w:id="619" w:name="_Toc95830713"/>
      <w:bookmarkStart w:id="620" w:name="_Toc95830605"/>
      <w:bookmarkStart w:id="621" w:name="_Toc509218757"/>
      <w:bookmarkStart w:id="622" w:name="_Toc140"/>
      <w:bookmarkStart w:id="623" w:name="_Toc200513173"/>
      <w:bookmarkStart w:id="624" w:name="_Toc95830491"/>
      <w:bookmarkStart w:id="625" w:name="_Toc287620732"/>
      <w:bookmarkStart w:id="626" w:name="_Toc287607793"/>
      <w:r>
        <w:rPr>
          <w:rFonts w:ascii="宋体" w:hAnsi="宋体" w:eastAsia="宋体" w:cs="Times New Roman"/>
          <w:b/>
          <w:bCs w:val="0"/>
          <w:snapToGrid w:val="0"/>
          <w:color w:val="auto"/>
          <w:sz w:val="24"/>
          <w:szCs w:val="24"/>
        </w:rPr>
        <w:t>9.1 对招标人的纪律要求</w:t>
      </w:r>
      <w:bookmarkEnd w:id="616"/>
      <w:bookmarkEnd w:id="617"/>
      <w:bookmarkEnd w:id="618"/>
      <w:bookmarkEnd w:id="619"/>
      <w:bookmarkEnd w:id="620"/>
      <w:bookmarkEnd w:id="621"/>
      <w:bookmarkEnd w:id="622"/>
      <w:bookmarkEnd w:id="623"/>
      <w:bookmarkEnd w:id="624"/>
      <w:bookmarkEnd w:id="625"/>
      <w:bookmarkEnd w:id="626"/>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snapToGrid w:val="0"/>
          <w:color w:val="auto"/>
          <w:kern w:val="0"/>
          <w:szCs w:val="21"/>
        </w:rPr>
        <w:t>招标人不得泄漏招标投标活动中应当保密的情况和资料，不得与投标人串通损害国家利益、社会公共利益或者他人合法权益，</w:t>
      </w:r>
      <w:r>
        <w:rPr>
          <w:rFonts w:ascii="宋体" w:hAnsi="宋体"/>
          <w:color w:val="auto"/>
          <w:szCs w:val="21"/>
        </w:rPr>
        <w:t>禁止招标人与投标人串通投标。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有下列情形之一的，属于招标人与投标人串通投标：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（1）招标人在开标前开启投标文件并将有关信息泄露给其他投标人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（2）招标人直接或者间接向投标人泄露标底、评标委员会成员等信息；</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（3）招标人明示或者暗示投标人压低或者抬高投标报价；</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（4）招标人授意投标人撤换、修改投标文件；</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（5）招标人明示或者暗示投标人为特定投标人中标提供方便；</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color w:val="auto"/>
          <w:szCs w:val="21"/>
        </w:rPr>
        <w:t>（6）招标人与投标人为谋求特定投标人中标而采取的其他串通行为。</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627" w:name="_Toc95830714"/>
      <w:bookmarkStart w:id="628" w:name="_Toc287620733"/>
      <w:bookmarkStart w:id="629" w:name="_Toc224103365"/>
      <w:bookmarkStart w:id="630" w:name="_Toc200513174"/>
      <w:bookmarkStart w:id="631" w:name="_Toc95830606"/>
      <w:bookmarkStart w:id="632" w:name="_Toc95830492"/>
      <w:bookmarkStart w:id="633" w:name="_Toc430530483"/>
      <w:bookmarkStart w:id="634" w:name="_Toc287607794"/>
      <w:bookmarkStart w:id="635" w:name="_Toc277082600"/>
      <w:bookmarkStart w:id="636" w:name="_Toc28639"/>
      <w:bookmarkStart w:id="637" w:name="_Toc509218758"/>
      <w:r>
        <w:rPr>
          <w:rFonts w:ascii="宋体" w:hAnsi="宋体" w:eastAsia="宋体" w:cs="Times New Roman"/>
          <w:b/>
          <w:bCs w:val="0"/>
          <w:snapToGrid w:val="0"/>
          <w:color w:val="auto"/>
          <w:sz w:val="24"/>
          <w:szCs w:val="24"/>
        </w:rPr>
        <w:t>9.2 对投标人的纪律要求</w:t>
      </w:r>
      <w:bookmarkEnd w:id="627"/>
      <w:bookmarkEnd w:id="628"/>
      <w:bookmarkEnd w:id="629"/>
      <w:bookmarkEnd w:id="630"/>
      <w:bookmarkEnd w:id="631"/>
      <w:bookmarkEnd w:id="632"/>
      <w:bookmarkEnd w:id="633"/>
      <w:bookmarkEnd w:id="634"/>
      <w:bookmarkEnd w:id="635"/>
      <w:bookmarkEnd w:id="636"/>
      <w:bookmarkEnd w:id="637"/>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snapToGrid w:val="0"/>
          <w:color w:val="auto"/>
          <w:kern w:val="0"/>
          <w:szCs w:val="21"/>
        </w:rPr>
        <w:t>9.2.1</w:t>
      </w:r>
      <w:r>
        <w:rPr>
          <w:rFonts w:ascii="宋体" w:hAnsi="宋体"/>
          <w:snapToGrid w:val="0"/>
          <w:color w:val="auto"/>
          <w:kern w:val="0"/>
          <w:szCs w:val="21"/>
        </w:rPr>
        <w:t xml:space="preserve"> </w:t>
      </w:r>
      <w:r>
        <w:rPr>
          <w:rFonts w:ascii="宋体" w:hAnsi="宋体"/>
          <w:color w:val="auto"/>
          <w:szCs w:val="21"/>
        </w:rPr>
        <w:t>有下列情形之一的，属于投标人相互串通投标：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（1）投标人之间协商投标报价等投标文件的实质性内容；</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（2）投标人之间约定中标人；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（3）投标人之间约定部分投标人放弃投标或者中标；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（4）属于同一集团、协会、商会等组织成员的投标人按照该组织要求协同投标；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（5）投标人之间为谋取中标或者排斥特定投标人而采取的其他联合行动。</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9.2.2</w:t>
      </w:r>
      <w:r>
        <w:rPr>
          <w:rFonts w:ascii="宋体" w:hAnsi="宋体"/>
          <w:color w:val="auto"/>
          <w:szCs w:val="21"/>
        </w:rPr>
        <w:t xml:space="preserve"> 有下列情形之一的，视为投标人相互串通投标：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（1）不同投标人的投标文件由同一单位或者个人编制；</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（2）不同投标人委托同一单位或者个人办理投标事宜；</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（3）不同投标人的投标文件载明的项目管理成员为同一人；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（4）不同投标人的投标文件异常一致或者投标报价呈规律性差异；</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（5）不同投标人的投标文件相互混装；</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（6）不同投标人的投标保证金从同一单位或者个人的账户转出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9.2.3</w:t>
      </w:r>
      <w:r>
        <w:rPr>
          <w:rFonts w:ascii="宋体" w:hAnsi="宋体"/>
          <w:color w:val="auto"/>
          <w:szCs w:val="21"/>
        </w:rPr>
        <w:t xml:space="preserve"> 使用通过受让或者租借等方式获取的资格、资质证书投标的，属于以他人名义投标。</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9.2.4</w:t>
      </w:r>
      <w:r>
        <w:rPr>
          <w:rFonts w:ascii="宋体" w:hAnsi="宋体"/>
          <w:color w:val="auto"/>
          <w:szCs w:val="21"/>
        </w:rPr>
        <w:t xml:space="preserve"> 投标人有下列情形之一的，属于以其他方式弄虚作假的行为：</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hint="eastAsia" w:ascii="宋体" w:hAnsi="宋体"/>
          <w:color w:val="auto"/>
          <w:szCs w:val="21"/>
        </w:rPr>
        <w:t>（1）</w:t>
      </w:r>
      <w:r>
        <w:rPr>
          <w:rFonts w:ascii="宋体" w:hAnsi="宋体"/>
          <w:color w:val="auto"/>
          <w:szCs w:val="21"/>
        </w:rPr>
        <w:t>使用伪造、变造的许可证件；</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）提供虚假的财务状况或者业绩；</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）提供虚假的项目负责人或者主要技术人员简历、劳动关系证明；</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）提供虚假的信用状况；</w:t>
      </w:r>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color w:val="auto"/>
          <w:szCs w:val="21"/>
        </w:rPr>
        <w:t>（</w:t>
      </w:r>
      <w:r>
        <w:rPr>
          <w:rFonts w:hint="eastAsia" w:ascii="宋体" w:hAnsi="宋体"/>
          <w:color w:val="auto"/>
          <w:szCs w:val="21"/>
        </w:rPr>
        <w:t>5</w:t>
      </w:r>
      <w:r>
        <w:rPr>
          <w:rFonts w:ascii="宋体" w:hAnsi="宋体"/>
          <w:color w:val="auto"/>
          <w:szCs w:val="21"/>
        </w:rPr>
        <w:t>）其他弄虚作假的行为。</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638" w:name="_Toc430530484"/>
      <w:bookmarkStart w:id="639" w:name="_Toc287620734"/>
      <w:bookmarkStart w:id="640" w:name="_Toc95830715"/>
      <w:bookmarkStart w:id="641" w:name="_Toc25381"/>
      <w:bookmarkStart w:id="642" w:name="_Toc200513175"/>
      <w:bookmarkStart w:id="643" w:name="_Toc95830607"/>
      <w:bookmarkStart w:id="644" w:name="_Toc224103366"/>
      <w:bookmarkStart w:id="645" w:name="_Toc509218759"/>
      <w:bookmarkStart w:id="646" w:name="_Toc277082601"/>
      <w:bookmarkStart w:id="647" w:name="_Toc95830493"/>
      <w:bookmarkStart w:id="648" w:name="_Toc287607795"/>
      <w:r>
        <w:rPr>
          <w:rFonts w:ascii="宋体" w:hAnsi="宋体" w:eastAsia="宋体" w:cs="Times New Roman"/>
          <w:b/>
          <w:bCs w:val="0"/>
          <w:snapToGrid w:val="0"/>
          <w:color w:val="auto"/>
          <w:sz w:val="24"/>
          <w:szCs w:val="24"/>
        </w:rPr>
        <w:t>9.3 对评标委员会成员的纪律要求</w:t>
      </w:r>
      <w:bookmarkEnd w:id="638"/>
      <w:bookmarkEnd w:id="639"/>
      <w:bookmarkEnd w:id="640"/>
      <w:bookmarkEnd w:id="641"/>
      <w:bookmarkEnd w:id="642"/>
      <w:bookmarkEnd w:id="643"/>
      <w:bookmarkEnd w:id="644"/>
      <w:bookmarkEnd w:id="645"/>
      <w:bookmarkEnd w:id="646"/>
      <w:bookmarkEnd w:id="647"/>
      <w:bookmarkEnd w:id="648"/>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w:t>
      </w:r>
      <w:r>
        <w:rPr>
          <w:rFonts w:hint="eastAsia" w:ascii="宋体" w:hAnsi="宋体"/>
          <w:color w:val="auto"/>
          <w:szCs w:val="21"/>
        </w:rPr>
        <w:t>评标委员会成员应当客观、公正地履行职责，遵守职业道德，</w:t>
      </w:r>
      <w:r>
        <w:rPr>
          <w:rFonts w:ascii="宋体" w:hAnsi="宋体"/>
          <w:snapToGrid w:val="0"/>
          <w:color w:val="auto"/>
          <w:kern w:val="0"/>
          <w:szCs w:val="21"/>
        </w:rPr>
        <w:t>不得擅离职守，影响评标程序正常进行，不得使用第三章“评标办法”没有规定的评审因素和标准进行评标。</w:t>
      </w:r>
      <w:r>
        <w:rPr>
          <w:rFonts w:hint="eastAsia" w:ascii="宋体" w:hAnsi="宋体"/>
          <w:snapToGrid w:val="0"/>
          <w:color w:val="auto"/>
          <w:kern w:val="0"/>
          <w:szCs w:val="21"/>
        </w:rPr>
        <w:t>不得对招标文件以外的内容予以否决投标。</w:t>
      </w:r>
    </w:p>
    <w:p>
      <w:pPr>
        <w:pageBreakBefore w:val="0"/>
        <w:widowControl w:val="0"/>
        <w:kinsoku/>
        <w:overflowPunct/>
        <w:topLinePunct w:val="0"/>
        <w:bidi w:val="0"/>
        <w:snapToGrid w:val="0"/>
        <w:spacing w:before="0" w:after="0" w:line="360" w:lineRule="auto"/>
        <w:textAlignment w:val="auto"/>
        <w:outlineLvl w:val="9"/>
        <w:rPr>
          <w:rFonts w:ascii="宋体" w:hAnsi="宋体" w:eastAsia="宋体" w:cs="Times New Roman"/>
          <w:b/>
          <w:bCs w:val="0"/>
          <w:snapToGrid w:val="0"/>
          <w:color w:val="auto"/>
          <w:sz w:val="24"/>
          <w:szCs w:val="24"/>
        </w:rPr>
      </w:pPr>
      <w:bookmarkStart w:id="649" w:name="_Toc95830608"/>
      <w:bookmarkStart w:id="650" w:name="_Toc430530485"/>
      <w:bookmarkStart w:id="651" w:name="_Toc95830716"/>
      <w:bookmarkStart w:id="652" w:name="_Toc287607796"/>
      <w:bookmarkStart w:id="653" w:name="_Toc277082602"/>
      <w:bookmarkStart w:id="654" w:name="_Toc95830494"/>
      <w:bookmarkStart w:id="655" w:name="_Toc224103367"/>
      <w:bookmarkStart w:id="656" w:name="_Toc287620735"/>
      <w:bookmarkStart w:id="657" w:name="_Toc200513176"/>
      <w:bookmarkStart w:id="658" w:name="_Toc3776"/>
      <w:bookmarkStart w:id="659" w:name="_Toc509218760"/>
      <w:r>
        <w:rPr>
          <w:rFonts w:ascii="宋体" w:hAnsi="宋体" w:eastAsia="宋体" w:cs="Times New Roman"/>
          <w:b/>
          <w:bCs w:val="0"/>
          <w:snapToGrid w:val="0"/>
          <w:color w:val="auto"/>
          <w:sz w:val="24"/>
          <w:szCs w:val="24"/>
        </w:rPr>
        <w:t>9.4 对与评标活动有关的工作人员的纪律要求</w:t>
      </w:r>
      <w:bookmarkEnd w:id="649"/>
      <w:bookmarkEnd w:id="650"/>
      <w:bookmarkEnd w:id="651"/>
      <w:bookmarkEnd w:id="652"/>
      <w:bookmarkEnd w:id="653"/>
      <w:bookmarkEnd w:id="654"/>
      <w:bookmarkEnd w:id="655"/>
      <w:bookmarkEnd w:id="656"/>
      <w:bookmarkEnd w:id="657"/>
      <w:bookmarkEnd w:id="658"/>
      <w:bookmarkEnd w:id="659"/>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643" w:firstLineChars="200"/>
        <w:jc w:val="center"/>
        <w:textAlignment w:val="auto"/>
        <w:rPr>
          <w:rFonts w:ascii="宋体" w:hAnsi="宋体" w:eastAsia="宋体" w:cs="Times New Roman"/>
          <w:b/>
          <w:bCs w:val="0"/>
          <w:snapToGrid w:val="0"/>
          <w:color w:val="auto"/>
          <w:sz w:val="32"/>
          <w:szCs w:val="32"/>
        </w:rPr>
      </w:pPr>
      <w:bookmarkStart w:id="660" w:name="_Toc32322"/>
      <w:bookmarkStart w:id="661" w:name="_Toc21884"/>
      <w:bookmarkStart w:id="662" w:name="_Toc95830718"/>
      <w:bookmarkStart w:id="663" w:name="_Toc26351"/>
      <w:bookmarkStart w:id="664" w:name="_Toc430530487"/>
      <w:bookmarkStart w:id="665" w:name="_Toc200513178"/>
      <w:bookmarkStart w:id="666" w:name="_Toc287620737"/>
      <w:bookmarkStart w:id="667" w:name="_Toc224103369"/>
      <w:bookmarkStart w:id="668" w:name="_Toc509218762"/>
      <w:bookmarkStart w:id="669" w:name="_Toc24596"/>
      <w:bookmarkStart w:id="670" w:name="_Toc11830"/>
      <w:bookmarkStart w:id="671" w:name="_Toc287607798"/>
      <w:bookmarkStart w:id="672" w:name="_Toc277082604"/>
      <w:r>
        <w:rPr>
          <w:rFonts w:ascii="宋体" w:hAnsi="宋体" w:eastAsia="宋体" w:cs="Times New Roman"/>
          <w:b/>
          <w:bCs w:val="0"/>
          <w:snapToGrid w:val="0"/>
          <w:color w:val="auto"/>
          <w:sz w:val="32"/>
          <w:szCs w:val="32"/>
        </w:rPr>
        <w:t>10.需要补充的其他内容</w:t>
      </w:r>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widowControl w:val="0"/>
        <w:kinsoku/>
        <w:overflowPunct/>
        <w:topLinePunct w:val="0"/>
        <w:autoSpaceDE w:val="0"/>
        <w:autoSpaceDN w:val="0"/>
        <w:bidi w:val="0"/>
        <w:adjustRightInd w:val="0"/>
        <w:snapToGrid w:val="0"/>
        <w:spacing w:line="360" w:lineRule="auto"/>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需要补充的其他内容：见投标人须知前附表。</w:t>
      </w:r>
    </w:p>
    <w:p>
      <w:pPr>
        <w:pageBreakBefore w:val="0"/>
        <w:widowControl w:val="0"/>
        <w:kinsoku/>
        <w:overflowPunct/>
        <w:topLinePunct w:val="0"/>
        <w:autoSpaceDE w:val="0"/>
        <w:autoSpaceDN w:val="0"/>
        <w:bidi w:val="0"/>
        <w:adjustRightInd w:val="0"/>
        <w:snapToGrid w:val="0"/>
        <w:spacing w:line="360" w:lineRule="auto"/>
        <w:ind w:firstLine="200"/>
        <w:textAlignment w:val="auto"/>
        <w:rPr>
          <w:rFonts w:ascii="宋体" w:hAnsi="宋体"/>
          <w:snapToGrid w:val="0"/>
          <w:color w:val="auto"/>
          <w:kern w:val="0"/>
          <w:szCs w:val="21"/>
        </w:rPr>
      </w:pPr>
    </w:p>
    <w:p>
      <w:pPr>
        <w:spacing w:line="420" w:lineRule="exact"/>
        <w:ind w:firstLine="200"/>
        <w:rPr>
          <w:rFonts w:ascii="宋体" w:hAnsi="宋体"/>
          <w:color w:val="auto"/>
        </w:rPr>
      </w:pPr>
    </w:p>
    <w:p>
      <w:pPr>
        <w:pStyle w:val="2"/>
        <w:spacing w:after="0" w:line="420" w:lineRule="exact"/>
        <w:ind w:firstLine="200"/>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color w:val="auto"/>
        </w:rPr>
      </w:pPr>
    </w:p>
    <w:p>
      <w:pPr>
        <w:rPr>
          <w:color w:val="auto"/>
        </w:rPr>
      </w:pPr>
    </w:p>
    <w:p>
      <w:pPr>
        <w:pStyle w:val="2"/>
        <w:rPr>
          <w:color w:val="auto"/>
        </w:rPr>
      </w:pPr>
    </w:p>
    <w:p>
      <w:pPr>
        <w:rPr>
          <w:color w:val="auto"/>
        </w:rPr>
      </w:pPr>
    </w:p>
    <w:p>
      <w:pPr>
        <w:pStyle w:val="2"/>
      </w:pPr>
    </w:p>
    <w:p/>
    <w:p>
      <w:pPr>
        <w:pStyle w:val="4"/>
        <w:spacing w:line="360" w:lineRule="auto"/>
        <w:jc w:val="center"/>
        <w:outlineLvl w:val="1"/>
        <w:rPr>
          <w:rFonts w:ascii="宋体" w:hAnsi="宋体"/>
          <w:color w:val="auto"/>
        </w:rPr>
      </w:pPr>
      <w:bookmarkStart w:id="673" w:name="招标文件03章02评标办法综合评估法00"/>
      <w:bookmarkEnd w:id="673"/>
      <w:bookmarkStart w:id="674" w:name="招标文件03章02评标办法综合评估法"/>
      <w:bookmarkEnd w:id="674"/>
      <w:bookmarkStart w:id="675" w:name="_Toc17134"/>
      <w:bookmarkStart w:id="676" w:name="_Toc602"/>
      <w:bookmarkStart w:id="677" w:name="_Toc28097"/>
      <w:bookmarkStart w:id="678" w:name="_Toc509218774"/>
      <w:bookmarkStart w:id="679" w:name="_Toc2964"/>
      <w:bookmarkStart w:id="680" w:name="_Toc19004"/>
      <w:bookmarkStart w:id="681" w:name="_Toc95830719"/>
      <w:bookmarkStart w:id="682" w:name="_Toc277082618"/>
      <w:bookmarkStart w:id="683" w:name="_Toc224103384"/>
      <w:bookmarkStart w:id="684" w:name="_Toc430530500"/>
      <w:bookmarkStart w:id="685" w:name="_Toc200513198"/>
      <w:bookmarkStart w:id="686" w:name="_Toc287607812"/>
      <w:bookmarkStart w:id="687" w:name="_Toc287620751"/>
      <w:r>
        <w:rPr>
          <w:rFonts w:ascii="宋体" w:hAnsi="宋体"/>
          <w:color w:val="auto"/>
        </w:rPr>
        <w:t xml:space="preserve">第三章 </w:t>
      </w:r>
      <w:r>
        <w:rPr>
          <w:rFonts w:hint="eastAsia" w:ascii="宋体" w:hAnsi="宋体"/>
          <w:color w:val="auto"/>
        </w:rPr>
        <w:t xml:space="preserve"> </w:t>
      </w:r>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675"/>
      <w:bookmarkEnd w:id="676"/>
      <w:bookmarkEnd w:id="677"/>
      <w:bookmarkEnd w:id="678"/>
      <w:bookmarkEnd w:id="679"/>
      <w:bookmarkEnd w:id="680"/>
      <w:bookmarkEnd w:id="681"/>
      <w:bookmarkStart w:id="688" w:name="_Toc430530499"/>
      <w:bookmarkStart w:id="689" w:name="_Toc277082617"/>
      <w:bookmarkStart w:id="690" w:name="_Toc287607811"/>
      <w:bookmarkStart w:id="691" w:name="_Toc287620750"/>
      <w:bookmarkStart w:id="692" w:name="_Toc224103383"/>
    </w:p>
    <w:p>
      <w:pPr>
        <w:pStyle w:val="5"/>
        <w:spacing w:before="0" w:after="0" w:line="420" w:lineRule="exact"/>
        <w:jc w:val="center"/>
        <w:outlineLvl w:val="2"/>
        <w:rPr>
          <w:rFonts w:ascii="宋体" w:hAnsi="宋体"/>
          <w:color w:val="auto"/>
        </w:rPr>
      </w:pPr>
      <w:bookmarkStart w:id="693" w:name="_Toc509218775"/>
      <w:bookmarkStart w:id="694" w:name="_Toc9281"/>
      <w:bookmarkStart w:id="695" w:name="_Toc32023"/>
      <w:bookmarkStart w:id="696" w:name="_Toc6364"/>
      <w:bookmarkStart w:id="697" w:name="_Toc24757"/>
      <w:bookmarkStart w:id="698" w:name="_Toc22483"/>
      <w:bookmarkStart w:id="699" w:name="_Toc95830720"/>
      <w:r>
        <w:rPr>
          <w:rFonts w:hint="eastAsia" w:ascii="宋体" w:hAnsi="宋体"/>
          <w:color w:val="auto"/>
        </w:rPr>
        <w:t>评标办法前附表</w:t>
      </w:r>
      <w:bookmarkEnd w:id="693"/>
      <w:bookmarkEnd w:id="694"/>
      <w:bookmarkEnd w:id="695"/>
      <w:bookmarkEnd w:id="696"/>
      <w:bookmarkEnd w:id="697"/>
      <w:bookmarkEnd w:id="698"/>
      <w:bookmarkEnd w:id="699"/>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r>
        <w:rPr>
          <w:rFonts w:hint="eastAsia" w:ascii="宋体" w:hAnsi="宋体"/>
          <w:color w:val="auto"/>
          <w:szCs w:val="21"/>
        </w:rPr>
        <w:t>评标办法前附表与评标办法正文就同一事项表述不一致的，均以评标办法前附表的表述内容为准。</w:t>
      </w:r>
    </w:p>
    <w:tbl>
      <w:tblPr>
        <w:tblStyle w:val="19"/>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709"/>
        <w:gridCol w:w="2330"/>
        <w:gridCol w:w="566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条款号</w:t>
            </w:r>
          </w:p>
        </w:tc>
        <w:tc>
          <w:tcPr>
            <w:tcW w:w="3039" w:type="dxa"/>
            <w:gridSpan w:val="2"/>
            <w:tcBorders>
              <w:lef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评审因素</w:t>
            </w:r>
          </w:p>
        </w:tc>
        <w:tc>
          <w:tcPr>
            <w:tcW w:w="5666" w:type="dxa"/>
            <w:vAlign w:val="center"/>
          </w:tcPr>
          <w:p>
            <w:pPr>
              <w:spacing w:line="420" w:lineRule="exact"/>
              <w:jc w:val="center"/>
              <w:rPr>
                <w:rFonts w:ascii="宋体" w:hAnsi="宋体"/>
                <w:b/>
                <w:color w:val="auto"/>
                <w:kern w:val="0"/>
                <w:szCs w:val="21"/>
              </w:rPr>
            </w:pPr>
            <w:r>
              <w:rPr>
                <w:rFonts w:ascii="宋体" w:hAnsi="宋体"/>
                <w:b/>
                <w:color w:val="auto"/>
                <w:kern w:val="0"/>
                <w:szCs w:val="21"/>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1</w:t>
            </w:r>
          </w:p>
        </w:tc>
        <w:tc>
          <w:tcPr>
            <w:tcW w:w="3039" w:type="dxa"/>
            <w:gridSpan w:val="2"/>
            <w:tcBorders>
              <w:lef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评标办法</w:t>
            </w:r>
          </w:p>
        </w:tc>
        <w:tc>
          <w:tcPr>
            <w:tcW w:w="5666" w:type="dxa"/>
            <w:vAlign w:val="center"/>
          </w:tcPr>
          <w:p>
            <w:pPr>
              <w:shd w:val="clear" w:color="auto" w:fill="auto"/>
              <w:spacing w:line="360" w:lineRule="auto"/>
              <w:ind w:firstLine="420" w:firstLineChars="200"/>
              <w:rPr>
                <w:rFonts w:hint="eastAsia" w:ascii="Times New Roman" w:hAnsi="Times New Roman" w:cs="Times New Roman"/>
                <w:color w:val="auto"/>
                <w:highlight w:val="none"/>
              </w:rPr>
            </w:pPr>
            <w:r>
              <w:rPr>
                <w:rFonts w:hint="eastAsia" w:ascii="宋体" w:hAnsi="宋体" w:eastAsia="宋体" w:cs="Times New Roman"/>
                <w:color w:val="auto"/>
                <w:szCs w:val="21"/>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r>
              <w:rPr>
                <w:rFonts w:hint="eastAsia" w:ascii="Times New Roman" w:hAnsi="Times New Roman" w:cs="Times New Roman"/>
                <w:color w:val="auto"/>
                <w:highlight w:val="none"/>
              </w:rPr>
              <w:t>若出现投标人投标报价相同的，评标委员会按以下原则推荐：</w:t>
            </w:r>
          </w:p>
          <w:p>
            <w:pPr>
              <w:spacing w:line="360" w:lineRule="auto"/>
              <w:ind w:firstLine="420" w:firstLineChars="200"/>
              <w:rPr>
                <w:rFonts w:ascii="宋体" w:hAnsi="宋体"/>
                <w:color w:val="auto"/>
                <w:kern w:val="0"/>
                <w:szCs w:val="21"/>
              </w:rPr>
            </w:pPr>
            <w:r>
              <w:rPr>
                <w:rFonts w:hint="eastAsia" w:ascii="Times New Roman" w:hAnsi="Times New Roman" w:cs="Times New Roman"/>
                <w:color w:val="auto"/>
                <w:highlight w:val="none"/>
              </w:rPr>
              <w:t>（1）</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lang w:val="en-US" w:eastAsia="zh-CN"/>
              </w:rPr>
              <w:t>投标人单个类似业绩合同金额由高到低的</w:t>
            </w:r>
            <w:r>
              <w:rPr>
                <w:rFonts w:hint="eastAsia" w:ascii="宋体" w:hAnsi="宋体"/>
                <w:color w:val="auto"/>
                <w:spacing w:val="4"/>
                <w:kern w:val="0"/>
                <w:szCs w:val="21"/>
                <w:highlight w:val="none"/>
              </w:rPr>
              <w:t>原则排序</w:t>
            </w:r>
            <w:r>
              <w:rPr>
                <w:rFonts w:hint="eastAsia" w:ascii="宋体" w:hAnsi="宋体"/>
                <w:color w:val="auto"/>
                <w:spacing w:val="4"/>
                <w:kern w:val="0"/>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2.1</w:t>
            </w:r>
          </w:p>
        </w:tc>
        <w:tc>
          <w:tcPr>
            <w:tcW w:w="3039" w:type="dxa"/>
            <w:gridSpan w:val="2"/>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报价排序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2.2</w:t>
            </w:r>
          </w:p>
        </w:tc>
        <w:tc>
          <w:tcPr>
            <w:tcW w:w="3039" w:type="dxa"/>
            <w:gridSpan w:val="2"/>
            <w:vAlign w:val="center"/>
          </w:tcPr>
          <w:p>
            <w:pPr>
              <w:spacing w:line="420" w:lineRule="exact"/>
              <w:jc w:val="center"/>
              <w:rPr>
                <w:rFonts w:ascii="宋体" w:hAnsi="宋体"/>
                <w:color w:val="auto"/>
                <w:kern w:val="0"/>
                <w:szCs w:val="21"/>
              </w:rPr>
            </w:pPr>
            <w:r>
              <w:rPr>
                <w:rFonts w:hint="eastAsia" w:ascii="宋体" w:hAnsi="宋体"/>
                <w:color w:val="auto"/>
                <w:kern w:val="0"/>
                <w:szCs w:val="21"/>
              </w:rPr>
              <w:t>符合性审查</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取报价排序前</w:t>
            </w:r>
            <w:r>
              <w:rPr>
                <w:rFonts w:hint="eastAsia" w:ascii="宋体" w:hAnsi="宋体"/>
                <w:color w:val="auto"/>
                <w:kern w:val="0"/>
                <w:szCs w:val="21"/>
                <w:lang w:eastAsia="zh-CN"/>
              </w:rPr>
              <w:t>□</w:t>
            </w:r>
            <w:r>
              <w:rPr>
                <w:rFonts w:hint="eastAsia" w:ascii="宋体" w:hAnsi="宋体"/>
                <w:color w:val="auto"/>
                <w:kern w:val="0"/>
                <w:szCs w:val="21"/>
              </w:rPr>
              <w:t>5</w:t>
            </w:r>
            <w:r>
              <w:rPr>
                <w:rFonts w:hint="eastAsia" w:ascii="宋体" w:hAnsi="宋体"/>
                <w:color w:val="auto"/>
                <w:kern w:val="0"/>
                <w:szCs w:val="21"/>
                <w:lang w:eastAsia="zh-CN"/>
              </w:rPr>
              <w:t>☑</w:t>
            </w:r>
            <w:r>
              <w:rPr>
                <w:rFonts w:hint="eastAsia" w:ascii="宋体" w:hAnsi="宋体"/>
                <w:color w:val="auto"/>
                <w:kern w:val="0"/>
                <w:szCs w:val="21"/>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1</w:t>
            </w:r>
          </w:p>
        </w:tc>
        <w:tc>
          <w:tcPr>
            <w:tcW w:w="709"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资格评审标准</w:t>
            </w:r>
          </w:p>
        </w:tc>
        <w:tc>
          <w:tcPr>
            <w:tcW w:w="2330" w:type="dxa"/>
            <w:tcBorders>
              <w:lef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资质</w:t>
            </w:r>
            <w:r>
              <w:rPr>
                <w:rFonts w:hint="eastAsia" w:ascii="宋体" w:hAnsi="宋体"/>
                <w:color w:val="auto"/>
                <w:kern w:val="0"/>
                <w:szCs w:val="21"/>
              </w:rPr>
              <w:t>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w:t>
            </w:r>
            <w:r>
              <w:rPr>
                <w:rFonts w:hint="eastAsia" w:ascii="宋体" w:hAnsi="宋体"/>
                <w:color w:val="auto"/>
                <w:kern w:val="0"/>
                <w:szCs w:val="21"/>
              </w:rPr>
              <w:t>前附表</w:t>
            </w:r>
            <w:r>
              <w:rPr>
                <w:rFonts w:ascii="宋体" w:hAnsi="宋体"/>
                <w:color w:val="auto"/>
                <w:kern w:val="0"/>
                <w:szCs w:val="21"/>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营业执照</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w:t>
            </w:r>
            <w:r>
              <w:rPr>
                <w:rFonts w:hint="eastAsia" w:ascii="宋体" w:hAnsi="宋体"/>
                <w:color w:val="auto"/>
                <w:kern w:val="0"/>
                <w:szCs w:val="21"/>
              </w:rPr>
              <w:t>前附表</w:t>
            </w:r>
            <w:r>
              <w:rPr>
                <w:rFonts w:ascii="宋体" w:hAnsi="宋体"/>
                <w:color w:val="auto"/>
                <w:kern w:val="0"/>
                <w:szCs w:val="21"/>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安全生产条件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w:t>
            </w:r>
            <w:r>
              <w:rPr>
                <w:rFonts w:hint="eastAsia" w:ascii="宋体" w:hAnsi="宋体"/>
                <w:color w:val="auto"/>
                <w:kern w:val="0"/>
                <w:szCs w:val="21"/>
              </w:rPr>
              <w:t>前附表</w:t>
            </w:r>
            <w:r>
              <w:rPr>
                <w:rFonts w:ascii="宋体" w:hAnsi="宋体"/>
                <w:color w:val="auto"/>
                <w:kern w:val="0"/>
                <w:szCs w:val="21"/>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业绩</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w:t>
            </w:r>
            <w:r>
              <w:rPr>
                <w:rFonts w:hint="eastAsia" w:ascii="宋体" w:hAnsi="宋体"/>
                <w:color w:val="auto"/>
                <w:kern w:val="0"/>
                <w:szCs w:val="21"/>
              </w:rPr>
              <w:t>前附表</w:t>
            </w:r>
            <w:r>
              <w:rPr>
                <w:rFonts w:ascii="宋体" w:hAnsi="宋体"/>
                <w:color w:val="auto"/>
                <w:kern w:val="0"/>
                <w:szCs w:val="21"/>
              </w:rPr>
              <w:t>”第1.4.1项规定</w:t>
            </w:r>
          </w:p>
        </w:tc>
      </w:tr>
      <w:bookmarkEnd w:id="688"/>
      <w:bookmarkEnd w:id="689"/>
      <w:bookmarkEnd w:id="690"/>
      <w:bookmarkEnd w:id="691"/>
      <w:bookmarkEnd w:id="692"/>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其他要求</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w:t>
            </w:r>
            <w:r>
              <w:rPr>
                <w:rFonts w:hint="eastAsia" w:ascii="宋体" w:hAnsi="宋体"/>
                <w:color w:val="auto"/>
                <w:kern w:val="0"/>
                <w:szCs w:val="21"/>
              </w:rPr>
              <w:t>前附表</w:t>
            </w:r>
            <w:r>
              <w:rPr>
                <w:rFonts w:ascii="宋体" w:hAnsi="宋体"/>
                <w:color w:val="auto"/>
                <w:kern w:val="0"/>
                <w:szCs w:val="21"/>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联合体投标人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2</w:t>
            </w:r>
          </w:p>
        </w:tc>
        <w:tc>
          <w:tcPr>
            <w:tcW w:w="709"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形式评审标准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投标人名称</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与营业执照、资质证书</w:t>
            </w:r>
            <w:r>
              <w:rPr>
                <w:rFonts w:hint="eastAsia" w:ascii="宋体" w:hAnsi="宋体"/>
                <w:color w:val="auto"/>
                <w:kern w:val="0"/>
                <w:szCs w:val="21"/>
                <w:lang w:val="en-US" w:eastAsia="zh-CN"/>
              </w:rPr>
              <w:t>及安全生产许可证</w:t>
            </w:r>
            <w:r>
              <w:rPr>
                <w:rFonts w:ascii="宋体" w:hAnsi="宋体"/>
                <w:color w:val="auto"/>
                <w:kern w:val="0"/>
                <w:szCs w:val="21"/>
              </w:rPr>
              <w:t>一致</w:t>
            </w:r>
            <w:r>
              <w:rPr>
                <w:rFonts w:hint="eastAsia" w:ascii="宋体" w:hAnsi="宋体"/>
                <w:color w:val="auto"/>
                <w:kern w:val="0"/>
                <w:szCs w:val="21"/>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投标文件格式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s="宋体"/>
                <w:color w:val="auto"/>
                <w:kern w:val="0"/>
                <w:szCs w:val="21"/>
              </w:rPr>
              <w:t>符合第二章“投标人须知”第3.</w:t>
            </w:r>
            <w:r>
              <w:rPr>
                <w:rFonts w:hint="eastAsia" w:ascii="宋体" w:hAnsi="宋体" w:cs="宋体"/>
                <w:color w:val="auto"/>
                <w:kern w:val="0"/>
                <w:szCs w:val="21"/>
                <w:lang w:val="en-US" w:eastAsia="zh-CN"/>
              </w:rPr>
              <w:t>7.1</w:t>
            </w:r>
            <w:r>
              <w:rPr>
                <w:rFonts w:hint="eastAsia" w:ascii="宋体" w:hAnsi="宋体" w:cs="宋体"/>
                <w:color w:val="auto"/>
                <w:kern w:val="0"/>
                <w:szCs w:val="21"/>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s="宋体"/>
                <w:color w:val="auto"/>
                <w:kern w:val="0"/>
                <w:szCs w:val="21"/>
              </w:rPr>
              <w:t>投标文件份数</w:t>
            </w:r>
          </w:p>
        </w:tc>
        <w:tc>
          <w:tcPr>
            <w:tcW w:w="5666" w:type="dxa"/>
            <w:vAlign w:val="center"/>
          </w:tcPr>
          <w:p>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符合第二章“投标人须知”第3.7.4项规定。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报价唯一</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hint="default" w:ascii="宋体" w:hAnsi="宋体" w:eastAsia="宋体"/>
                <w:color w:val="auto"/>
                <w:kern w:val="0"/>
                <w:szCs w:val="21"/>
                <w:lang w:val="en-US" w:eastAsia="zh-CN"/>
              </w:rPr>
            </w:pPr>
            <w:r>
              <w:rPr>
                <w:rFonts w:ascii="宋体" w:hAnsi="宋体"/>
                <w:color w:val="auto"/>
                <w:kern w:val="0"/>
                <w:szCs w:val="21"/>
              </w:rPr>
              <w:t>投标文件的签</w:t>
            </w:r>
            <w:r>
              <w:rPr>
                <w:rFonts w:hint="eastAsia" w:ascii="宋体" w:hAnsi="宋体"/>
                <w:color w:val="auto"/>
                <w:kern w:val="0"/>
                <w:szCs w:val="21"/>
                <w:lang w:val="en-US" w:eastAsia="zh-CN"/>
              </w:rPr>
              <w:t>名盖章</w:t>
            </w:r>
          </w:p>
        </w:tc>
        <w:tc>
          <w:tcPr>
            <w:tcW w:w="5666" w:type="dxa"/>
            <w:vAlign w:val="center"/>
          </w:tcPr>
          <w:p>
            <w:pPr>
              <w:autoSpaceDE w:val="0"/>
              <w:autoSpaceDN w:val="0"/>
              <w:adjustRightInd w:val="0"/>
              <w:snapToGrid w:val="0"/>
              <w:spacing w:line="420" w:lineRule="exact"/>
              <w:ind w:firstLine="420" w:firstLineChars="200"/>
              <w:rPr>
                <w:rFonts w:ascii="宋体" w:hAnsi="宋体"/>
                <w:color w:val="auto"/>
                <w:kern w:val="0"/>
                <w:szCs w:val="21"/>
              </w:rPr>
            </w:pPr>
            <w:r>
              <w:rPr>
                <w:rFonts w:hint="eastAsia" w:ascii="宋体" w:hAnsi="宋体" w:cs="宋体"/>
                <w:color w:val="auto"/>
                <w:kern w:val="0"/>
                <w:szCs w:val="21"/>
              </w:rPr>
              <w:t>投标文件的签名盖章应符合第二章“投标人须知前附表”第3.7.</w:t>
            </w:r>
            <w:r>
              <w:rPr>
                <w:rFonts w:ascii="宋体" w:hAnsi="宋体" w:cs="宋体"/>
                <w:color w:val="auto"/>
                <w:kern w:val="0"/>
                <w:szCs w:val="21"/>
              </w:rPr>
              <w:t>3</w:t>
            </w:r>
            <w:r>
              <w:rPr>
                <w:rFonts w:hint="eastAsia" w:ascii="宋体" w:hAnsi="宋体" w:cs="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委托代理人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投标人法定代表人的委托代理人有法定代表人签署的授权委托书</w:t>
            </w:r>
            <w:r>
              <w:rPr>
                <w:rFonts w:hint="eastAsia" w:ascii="宋体" w:hAnsi="宋体"/>
                <w:color w:val="auto"/>
                <w:kern w:val="0"/>
                <w:szCs w:val="21"/>
              </w:rPr>
              <w:t>和投标人为其缴纳的养老保险证明材料</w:t>
            </w:r>
            <w:r>
              <w:rPr>
                <w:rFonts w:ascii="宋体" w:hAnsi="宋体"/>
                <w:color w:val="auto"/>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szCs w:val="21"/>
              </w:rPr>
            </w:pPr>
            <w:r>
              <w:rPr>
                <w:rFonts w:ascii="宋体" w:hAnsi="宋体"/>
                <w:color w:val="auto"/>
                <w:kern w:val="0"/>
                <w:szCs w:val="21"/>
              </w:rPr>
              <w:t>2.1.3</w:t>
            </w:r>
          </w:p>
        </w:tc>
        <w:tc>
          <w:tcPr>
            <w:tcW w:w="709" w:type="dxa"/>
            <w:vMerge w:val="restart"/>
            <w:vAlign w:val="center"/>
          </w:tcPr>
          <w:p>
            <w:pPr>
              <w:spacing w:line="420" w:lineRule="exact"/>
              <w:jc w:val="center"/>
              <w:rPr>
                <w:rFonts w:ascii="宋体" w:hAnsi="宋体"/>
                <w:color w:val="auto"/>
                <w:szCs w:val="21"/>
              </w:rPr>
            </w:pPr>
            <w:r>
              <w:rPr>
                <w:rFonts w:ascii="宋体" w:hAnsi="宋体"/>
                <w:color w:val="auto"/>
                <w:kern w:val="0"/>
                <w:szCs w:val="21"/>
              </w:rPr>
              <w:t>响应性评审标准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投标内容</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已标价工程量清单</w:t>
            </w:r>
          </w:p>
        </w:tc>
        <w:tc>
          <w:tcPr>
            <w:tcW w:w="5666" w:type="dxa"/>
            <w:vAlign w:val="center"/>
          </w:tcPr>
          <w:p>
            <w:pPr>
              <w:numPr>
                <w:ilvl w:val="0"/>
                <w:numId w:val="2"/>
              </w:numPr>
              <w:spacing w:line="360" w:lineRule="auto"/>
              <w:ind w:firstLine="420" w:firstLineChars="200"/>
              <w:rPr>
                <w:rFonts w:hint="eastAsia"/>
                <w:color w:val="auto"/>
                <w:u w:val="none"/>
              </w:rPr>
            </w:pPr>
            <w:r>
              <w:rPr>
                <w:rFonts w:hint="eastAsia" w:ascii="宋体" w:hAnsi="宋体"/>
                <w:color w:val="auto"/>
                <w:kern w:val="0"/>
                <w:szCs w:val="21"/>
                <w:u w:val="none"/>
              </w:rPr>
              <w:t>符合第五章“工程量清单”给出的范围及数量。</w:t>
            </w:r>
          </w:p>
          <w:p>
            <w:pPr>
              <w:numPr>
                <w:ilvl w:val="0"/>
                <w:numId w:val="2"/>
              </w:numPr>
              <w:spacing w:line="360" w:lineRule="auto"/>
              <w:ind w:firstLine="420" w:firstLineChars="200"/>
              <w:rPr>
                <w:rFonts w:hint="eastAsia"/>
                <w:color w:val="auto"/>
                <w:u w:val="none"/>
              </w:rPr>
            </w:pPr>
            <w:r>
              <w:rPr>
                <w:rFonts w:hint="eastAsia" w:ascii="宋体" w:hAnsi="宋体"/>
                <w:color w:val="auto"/>
                <w:kern w:val="0"/>
                <w:szCs w:val="21"/>
                <w:u w:val="none"/>
              </w:rPr>
              <w:t>招标文件中</w:t>
            </w:r>
            <w:r>
              <w:rPr>
                <w:rFonts w:hint="eastAsia" w:ascii="宋体" w:hAnsi="宋体"/>
                <w:color w:val="auto"/>
                <w:kern w:val="0"/>
                <w:szCs w:val="21"/>
                <w:u w:val="none"/>
                <w:lang w:eastAsia="zh-CN"/>
              </w:rPr>
              <w:t>“</w:t>
            </w:r>
            <w:r>
              <w:rPr>
                <w:rFonts w:hint="eastAsia" w:ascii="宋体" w:hAnsi="宋体"/>
                <w:color w:val="auto"/>
                <w:kern w:val="0"/>
                <w:szCs w:val="21"/>
                <w:u w:val="none"/>
              </w:rPr>
              <w:t>工程量清单</w:t>
            </w:r>
            <w:r>
              <w:rPr>
                <w:rFonts w:hint="eastAsia" w:ascii="宋体" w:hAnsi="宋体"/>
                <w:color w:val="auto"/>
                <w:kern w:val="0"/>
                <w:szCs w:val="21"/>
                <w:u w:val="none"/>
                <w:lang w:eastAsia="zh-CN"/>
              </w:rPr>
              <w:t>”</w:t>
            </w:r>
            <w:r>
              <w:rPr>
                <w:rFonts w:hint="eastAsia" w:ascii="宋体" w:hAnsi="宋体"/>
                <w:color w:val="auto"/>
                <w:kern w:val="0"/>
                <w:szCs w:val="21"/>
                <w:u w:val="none"/>
                <w:lang w:val="en-US" w:eastAsia="zh-CN"/>
              </w:rPr>
              <w:t>中的工程量及限价均</w:t>
            </w:r>
            <w:r>
              <w:rPr>
                <w:rFonts w:hint="eastAsia" w:ascii="宋体" w:hAnsi="宋体"/>
                <w:color w:val="auto"/>
                <w:kern w:val="0"/>
                <w:szCs w:val="21"/>
                <w:u w:val="none"/>
              </w:rPr>
              <w:t>不得修改</w:t>
            </w:r>
            <w:r>
              <w:rPr>
                <w:rFonts w:hint="eastAsia" w:ascii="宋体" w:hAnsi="宋体"/>
                <w:color w:val="auto"/>
                <w:kern w:val="0"/>
                <w:szCs w:val="21"/>
                <w:u w:val="none"/>
                <w:lang w:eastAsia="zh-CN"/>
              </w:rPr>
              <w:t>。</w:t>
            </w:r>
          </w:p>
          <w:p>
            <w:pPr>
              <w:numPr>
                <w:ilvl w:val="0"/>
                <w:numId w:val="2"/>
              </w:numPr>
              <w:spacing w:line="360" w:lineRule="auto"/>
              <w:ind w:firstLine="420" w:firstLineChars="200"/>
              <w:rPr>
                <w:rFonts w:hint="eastAsia"/>
                <w:color w:val="auto"/>
                <w:u w:val="none"/>
              </w:rPr>
            </w:pPr>
            <w:r>
              <w:rPr>
                <w:color w:val="auto"/>
                <w:u w:val="none"/>
              </w:rPr>
              <w:t>投标总报价不得高于招标人公布的投标总报价最高限价</w:t>
            </w:r>
            <w:r>
              <w:rPr>
                <w:rFonts w:hint="eastAsia"/>
                <w:color w:val="auto"/>
                <w:u w:val="none"/>
              </w:rPr>
              <w:t>。</w:t>
            </w:r>
          </w:p>
          <w:p>
            <w:pPr>
              <w:numPr>
                <w:ilvl w:val="0"/>
                <w:numId w:val="2"/>
              </w:numPr>
              <w:spacing w:line="360" w:lineRule="auto"/>
              <w:ind w:firstLine="420" w:firstLineChars="200"/>
              <w:rPr>
                <w:color w:val="auto"/>
                <w:u w:val="none"/>
              </w:rPr>
            </w:pPr>
            <w:r>
              <w:rPr>
                <w:rFonts w:hint="eastAsia"/>
                <w:color w:val="auto"/>
                <w:u w:val="none"/>
              </w:rPr>
              <w:t>投标分项报价不得高于招标人公布的分项报价最高限价。</w:t>
            </w:r>
          </w:p>
          <w:p>
            <w:pPr>
              <w:pStyle w:val="2"/>
              <w:numPr>
                <w:ilvl w:val="0"/>
                <w:numId w:val="2"/>
              </w:numPr>
              <w:spacing w:line="360" w:lineRule="auto"/>
              <w:ind w:left="0" w:leftChars="0" w:firstLine="420" w:firstLineChars="200"/>
              <w:rPr>
                <w:rFonts w:hint="default"/>
                <w:color w:val="auto"/>
                <w:lang w:val="en-US"/>
              </w:rPr>
            </w:pPr>
            <w:r>
              <w:rPr>
                <w:rFonts w:hint="default"/>
                <w:color w:val="auto"/>
                <w:u w:val="none"/>
                <w:lang w:val="en-US"/>
              </w:rPr>
              <w:t>投标总报价低于最高限价 8</w:t>
            </w:r>
            <w:r>
              <w:rPr>
                <w:rFonts w:hint="eastAsia"/>
                <w:color w:val="auto"/>
                <w:u w:val="none"/>
                <w:lang w:val="en-US" w:eastAsia="zh-CN"/>
              </w:rPr>
              <w:t>0</w:t>
            </w:r>
            <w:r>
              <w:rPr>
                <w:rFonts w:hint="default"/>
                <w:color w:val="auto"/>
                <w:u w:val="none"/>
                <w:lang w:val="en-US"/>
              </w:rPr>
              <w:t>%的，投标人应在编制投标文件时，在投标函部分中递交低价风险担保提交承诺书。承诺书格式详见第</w:t>
            </w:r>
            <w:r>
              <w:rPr>
                <w:rFonts w:hint="eastAsia"/>
                <w:color w:val="auto"/>
                <w:u w:val="none"/>
                <w:lang w:val="en-US" w:eastAsia="zh-CN"/>
              </w:rPr>
              <w:t>七</w:t>
            </w:r>
            <w:r>
              <w:rPr>
                <w:rFonts w:hint="default"/>
                <w:color w:val="auto"/>
                <w:u w:val="none"/>
                <w:lang w:val="en-US"/>
              </w:rPr>
              <w:t>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工 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质量标准</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投标有效期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jc w:val="center"/>
              <w:rPr>
                <w:rFonts w:ascii="宋体" w:hAnsi="宋体"/>
                <w:color w:val="auto"/>
                <w:szCs w:val="21"/>
              </w:rPr>
            </w:pPr>
          </w:p>
        </w:tc>
        <w:tc>
          <w:tcPr>
            <w:tcW w:w="709" w:type="dxa"/>
            <w:vMerge w:val="continue"/>
          </w:tcPr>
          <w:p>
            <w:pPr>
              <w:spacing w:line="420" w:lineRule="exact"/>
              <w:jc w:val="center"/>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投标保证金</w:t>
            </w:r>
          </w:p>
        </w:tc>
        <w:tc>
          <w:tcPr>
            <w:tcW w:w="5666" w:type="dxa"/>
            <w:vAlign w:val="center"/>
          </w:tcPr>
          <w:p>
            <w:pPr>
              <w:tabs>
                <w:tab w:val="left" w:pos="601"/>
                <w:tab w:val="left" w:pos="669"/>
              </w:tabs>
              <w:snapToGrid w:val="0"/>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符合第二章投标人须知前附表第3.4</w:t>
            </w:r>
            <w:r>
              <w:rPr>
                <w:rFonts w:hint="eastAsia" w:ascii="宋体" w:hAnsi="宋体"/>
                <w:color w:val="auto"/>
                <w:kern w:val="0"/>
                <w:szCs w:val="21"/>
              </w:rPr>
              <w:t>款</w:t>
            </w:r>
            <w:r>
              <w:rPr>
                <w:rFonts w:ascii="宋体" w:hAnsi="宋体"/>
                <w:color w:val="auto"/>
                <w:kern w:val="0"/>
                <w:szCs w:val="21"/>
              </w:rPr>
              <w:t>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投标报价算术错误修正</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符合第三章</w:t>
            </w:r>
            <w:r>
              <w:rPr>
                <w:rFonts w:hint="eastAsia" w:ascii="宋体" w:hAnsi="宋体" w:cs="宋体"/>
                <w:color w:val="auto"/>
                <w:kern w:val="0"/>
                <w:szCs w:val="21"/>
              </w:rPr>
              <w:t>“评标办法”</w:t>
            </w:r>
            <w:r>
              <w:rPr>
                <w:rFonts w:ascii="宋体" w:hAnsi="宋体"/>
                <w:color w:val="auto"/>
                <w:kern w:val="0"/>
                <w:szCs w:val="21"/>
              </w:rPr>
              <w:t>第3.2.</w:t>
            </w:r>
            <w:r>
              <w:rPr>
                <w:rFonts w:hint="eastAsia" w:ascii="宋体" w:hAnsi="宋体"/>
                <w:color w:val="auto"/>
                <w:kern w:val="0"/>
                <w:szCs w:val="21"/>
                <w:lang w:val="en-US" w:eastAsia="zh-CN"/>
              </w:rPr>
              <w:t>3</w:t>
            </w:r>
            <w:r>
              <w:rPr>
                <w:rFonts w:ascii="宋体" w:hAnsi="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实质性要求</w:t>
            </w:r>
          </w:p>
        </w:tc>
        <w:tc>
          <w:tcPr>
            <w:tcW w:w="5666" w:type="dxa"/>
            <w:vAlign w:val="center"/>
          </w:tcPr>
          <w:p>
            <w:pPr>
              <w:spacing w:line="420" w:lineRule="exact"/>
              <w:ind w:firstLine="420" w:firstLineChars="200"/>
              <w:rPr>
                <w:rFonts w:hint="default" w:ascii="宋体" w:hAnsi="宋体" w:eastAsia="宋体"/>
                <w:color w:val="auto"/>
                <w:kern w:val="0"/>
                <w:szCs w:val="21"/>
                <w:u w:val="none"/>
                <w:lang w:val="en-US" w:eastAsia="zh-CN"/>
              </w:rPr>
            </w:pPr>
            <w:r>
              <w:rPr>
                <w:rFonts w:hint="eastAsia" w:ascii="宋体" w:hAnsi="宋体"/>
                <w:color w:val="auto"/>
                <w:kern w:val="0"/>
                <w:szCs w:val="21"/>
                <w:u w:val="none"/>
                <w:lang w:val="en-US" w:eastAsia="zh-CN"/>
              </w:rPr>
              <w:t>符合第二章“投标人须知”第1.4.3项规定</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本次投标不得有串通投标</w:t>
            </w:r>
            <w:r>
              <w:rPr>
                <w:rFonts w:ascii="宋体" w:hAnsi="宋体"/>
                <w:color w:val="auto"/>
                <w:kern w:val="0"/>
                <w:szCs w:val="21"/>
              </w:rPr>
              <w:t>、弄虚作假等其他违反招投标相关法律、法规行为。</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按照评标委员会要求澄清、说明或补正。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ascii="宋体" w:hAnsi="宋体"/>
                <w:color w:val="auto"/>
                <w:kern w:val="0"/>
                <w:szCs w:val="21"/>
              </w:rPr>
            </w:pPr>
            <w:r>
              <w:rPr>
                <w:rFonts w:ascii="宋体" w:hAnsi="宋体"/>
                <w:color w:val="auto"/>
                <w:szCs w:val="21"/>
              </w:rPr>
              <w:t>3</w:t>
            </w:r>
          </w:p>
        </w:tc>
        <w:tc>
          <w:tcPr>
            <w:tcW w:w="709" w:type="dxa"/>
            <w:vAlign w:val="center"/>
          </w:tcPr>
          <w:p>
            <w:pPr>
              <w:spacing w:line="420" w:lineRule="exact"/>
              <w:jc w:val="center"/>
              <w:rPr>
                <w:rFonts w:ascii="宋体" w:hAnsi="宋体"/>
                <w:color w:val="auto"/>
                <w:kern w:val="0"/>
                <w:szCs w:val="21"/>
              </w:rPr>
            </w:pPr>
            <w:r>
              <w:rPr>
                <w:rFonts w:ascii="宋体" w:hAnsi="宋体"/>
                <w:color w:val="auto"/>
                <w:szCs w:val="21"/>
              </w:rPr>
              <w:t>评标程序</w:t>
            </w:r>
          </w:p>
        </w:tc>
        <w:tc>
          <w:tcPr>
            <w:tcW w:w="7996" w:type="dxa"/>
            <w:gridSpan w:val="2"/>
          </w:tcPr>
          <w:p>
            <w:pPr>
              <w:spacing w:line="420" w:lineRule="exact"/>
              <w:ind w:firstLine="420" w:firstLineChars="200"/>
              <w:rPr>
                <w:rFonts w:hint="eastAsia" w:ascii="宋体" w:hAnsi="宋体"/>
                <w:color w:val="auto"/>
                <w:szCs w:val="21"/>
              </w:rPr>
            </w:pPr>
            <w:r>
              <w:rPr>
                <w:rFonts w:hint="eastAsia" w:ascii="宋体" w:hAnsi="宋体"/>
                <w:color w:val="auto"/>
                <w:szCs w:val="21"/>
              </w:rPr>
              <w:t>1.对报价不高于最高限价的所有投标人的投标文件，按照报价由低到高的顺序排序。</w:t>
            </w:r>
          </w:p>
          <w:p>
            <w:pPr>
              <w:spacing w:line="420" w:lineRule="exact"/>
              <w:ind w:firstLine="420" w:firstLineChars="200"/>
              <w:rPr>
                <w:rFonts w:hint="eastAsia" w:ascii="宋体" w:hAnsi="宋体"/>
                <w:color w:val="auto"/>
                <w:szCs w:val="21"/>
              </w:rPr>
            </w:pPr>
            <w:r>
              <w:rPr>
                <w:rFonts w:hint="eastAsia" w:ascii="宋体" w:hAnsi="宋体"/>
                <w:color w:val="auto"/>
                <w:szCs w:val="21"/>
              </w:rPr>
              <w:t>2.根据本章第 2.2 款约定进行符合性审查。符合性审查合格的投标人中，报价最低的成为第一中标候选人，报价次低的成为第二中标候选人，依次类推。</w:t>
            </w:r>
          </w:p>
          <w:p>
            <w:pPr>
              <w:spacing w:line="420" w:lineRule="exact"/>
              <w:ind w:firstLine="420" w:firstLineChars="200"/>
              <w:rPr>
                <w:rFonts w:hint="eastAsia" w:ascii="宋体" w:hAnsi="宋体"/>
                <w:color w:val="auto"/>
                <w:szCs w:val="21"/>
              </w:rPr>
            </w:pPr>
            <w:r>
              <w:rPr>
                <w:rFonts w:hint="eastAsia" w:ascii="宋体" w:hAnsi="宋体"/>
                <w:color w:val="auto"/>
                <w:szCs w:val="21"/>
              </w:rPr>
              <w:t>3.若上述程序未能评出三名中标候选人，则评标委员会对剩余投标文件继续按上述第 2 条进行评审，直至评出三名中标候选人，或者评审完所有投标文件。</w:t>
            </w:r>
          </w:p>
          <w:p>
            <w:pPr>
              <w:spacing w:line="420" w:lineRule="exact"/>
              <w:ind w:firstLine="420" w:firstLineChars="200"/>
              <w:rPr>
                <w:rFonts w:ascii="宋体" w:hAnsi="宋体"/>
                <w:color w:val="auto"/>
                <w:szCs w:val="21"/>
              </w:rPr>
            </w:pPr>
            <w:r>
              <w:rPr>
                <w:rFonts w:hint="eastAsia" w:ascii="宋体" w:hAnsi="宋体"/>
                <w:color w:val="auto"/>
                <w:szCs w:val="21"/>
              </w:rPr>
              <w:t>4.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Cs w:val="21"/>
                <w:lang w:val="en-US" w:eastAsia="zh-CN"/>
              </w:rPr>
            </w:pPr>
            <w:bookmarkStart w:id="700" w:name="_Toc509218776"/>
            <w:r>
              <w:rPr>
                <w:rFonts w:hint="eastAsia" w:ascii="宋体" w:hAnsi="宋体"/>
                <w:color w:val="auto"/>
                <w:szCs w:val="21"/>
                <w:lang w:val="en-US" w:eastAsia="zh-CN"/>
              </w:rPr>
              <w:t>3.4</w:t>
            </w:r>
          </w:p>
        </w:tc>
        <w:tc>
          <w:tcPr>
            <w:tcW w:w="709" w:type="dxa"/>
            <w:vAlign w:val="center"/>
          </w:tcPr>
          <w:p>
            <w:pPr>
              <w:spacing w:line="4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评标结果</w:t>
            </w:r>
          </w:p>
        </w:tc>
        <w:tc>
          <w:tcPr>
            <w:tcW w:w="7996" w:type="dxa"/>
            <w:gridSpan w:val="2"/>
            <w:tcBorders>
              <w:bottom w:val="single" w:color="auto" w:sz="4" w:space="0"/>
            </w:tcBorders>
          </w:tcPr>
          <w:p>
            <w:pPr>
              <w:spacing w:line="420" w:lineRule="exact"/>
              <w:ind w:firstLine="420" w:firstLineChars="200"/>
              <w:rPr>
                <w:rFonts w:hint="eastAsia" w:ascii="宋体" w:hAnsi="宋体"/>
                <w:color w:val="auto"/>
                <w:szCs w:val="21"/>
              </w:rPr>
            </w:pPr>
            <w:r>
              <w:rPr>
                <w:rFonts w:hint="eastAsia" w:ascii="宋体" w:hAnsi="宋体"/>
                <w:color w:val="auto"/>
                <w:szCs w:val="21"/>
              </w:rPr>
              <w:t>3.4.1除第二章“投标人须知”前附表授权直接确定中标人外，评标委员会按经评审的最低投标价法推荐中标候选人。</w:t>
            </w:r>
          </w:p>
          <w:p>
            <w:pPr>
              <w:spacing w:line="420" w:lineRule="exact"/>
              <w:ind w:firstLine="420" w:firstLineChars="200"/>
              <w:rPr>
                <w:rFonts w:hint="eastAsia" w:ascii="宋体" w:hAnsi="宋体"/>
                <w:color w:val="auto"/>
                <w:szCs w:val="21"/>
              </w:rPr>
            </w:pPr>
            <w:r>
              <w:rPr>
                <w:rFonts w:hint="eastAsia" w:ascii="宋体" w:hAnsi="宋体"/>
                <w:color w:val="auto"/>
                <w:szCs w:val="21"/>
              </w:rPr>
              <w:t>3.4.2 评标委员会完成评标后，应当向招标人提交书面评标报告。</w:t>
            </w:r>
          </w:p>
        </w:tc>
      </w:tr>
    </w:tbl>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color w:val="auto"/>
        </w:rPr>
      </w:pPr>
    </w:p>
    <w:p>
      <w:pPr>
        <w:rPr>
          <w:color w:val="auto"/>
        </w:rPr>
      </w:pPr>
    </w:p>
    <w:p>
      <w:pPr>
        <w:pStyle w:val="25"/>
        <w:rPr>
          <w:color w:val="auto"/>
        </w:rPr>
      </w:pPr>
    </w:p>
    <w:p>
      <w:pPr>
        <w:pStyle w:val="2"/>
        <w:rPr>
          <w:rFonts w:ascii="宋体" w:hAnsi="宋体"/>
          <w:color w:val="auto"/>
        </w:rPr>
      </w:pPr>
    </w:p>
    <w:p>
      <w:pPr>
        <w:rPr>
          <w:rFonts w:ascii="宋体" w:hAnsi="宋体"/>
          <w:color w:val="auto"/>
        </w:rPr>
      </w:pPr>
    </w:p>
    <w:p>
      <w:pPr>
        <w:pStyle w:val="2"/>
      </w:pPr>
    </w:p>
    <w:p>
      <w:pPr>
        <w:pStyle w:val="5"/>
        <w:keepNext/>
        <w:keepLines/>
        <w:pageBreakBefore w:val="0"/>
        <w:widowControl w:val="0"/>
        <w:kinsoku/>
        <w:wordWrap/>
        <w:overflowPunct/>
        <w:topLinePunct w:val="0"/>
        <w:autoSpaceDE/>
        <w:autoSpaceDN/>
        <w:bidi w:val="0"/>
        <w:adjustRightInd/>
        <w:snapToGrid/>
        <w:spacing w:before="313" w:beforeLines="100" w:after="313" w:afterLines="100" w:line="420" w:lineRule="exact"/>
        <w:ind w:firstLine="643" w:firstLineChars="200"/>
        <w:jc w:val="center"/>
        <w:textAlignment w:val="auto"/>
        <w:outlineLvl w:val="2"/>
        <w:rPr>
          <w:rFonts w:ascii="宋体" w:hAnsi="宋体" w:eastAsia="宋体" w:cs="Times New Roman"/>
          <w:b/>
          <w:bCs w:val="0"/>
          <w:snapToGrid w:val="0"/>
          <w:color w:val="auto"/>
          <w:sz w:val="32"/>
          <w:szCs w:val="32"/>
        </w:rPr>
      </w:pPr>
      <w:bookmarkStart w:id="701" w:name="_Toc9034"/>
      <w:bookmarkStart w:id="702" w:name="_Toc20722"/>
      <w:bookmarkStart w:id="703" w:name="_Toc95830721"/>
      <w:bookmarkStart w:id="704" w:name="_Toc12249"/>
      <w:bookmarkStart w:id="705" w:name="_Toc7760"/>
      <w:bookmarkStart w:id="706" w:name="_Toc4998"/>
      <w:r>
        <w:rPr>
          <w:rFonts w:ascii="宋体" w:hAnsi="宋体" w:eastAsia="宋体" w:cs="Times New Roman"/>
          <w:b/>
          <w:bCs w:val="0"/>
          <w:snapToGrid w:val="0"/>
          <w:color w:val="auto"/>
          <w:sz w:val="32"/>
          <w:szCs w:val="32"/>
        </w:rPr>
        <w:t>1.评标方法</w:t>
      </w:r>
      <w:bookmarkEnd w:id="682"/>
      <w:bookmarkEnd w:id="683"/>
      <w:bookmarkEnd w:id="684"/>
      <w:bookmarkEnd w:id="685"/>
      <w:bookmarkEnd w:id="686"/>
      <w:bookmarkEnd w:id="687"/>
      <w:bookmarkEnd w:id="700"/>
      <w:bookmarkEnd w:id="701"/>
      <w:bookmarkEnd w:id="702"/>
      <w:bookmarkEnd w:id="703"/>
      <w:bookmarkEnd w:id="704"/>
      <w:bookmarkEnd w:id="705"/>
      <w:bookmarkEnd w:id="706"/>
    </w:p>
    <w:p>
      <w:pPr>
        <w:autoSpaceDE w:val="0"/>
        <w:autoSpaceDN w:val="0"/>
        <w:adjustRightInd w:val="0"/>
        <w:snapToGrid w:val="0"/>
        <w:spacing w:line="420" w:lineRule="exact"/>
        <w:ind w:firstLine="420" w:firstLineChars="200"/>
        <w:rPr>
          <w:rFonts w:hint="eastAsia" w:ascii="宋体" w:hAnsi="宋体" w:eastAsia="宋体" w:cs="Times New Roman"/>
          <w:color w:val="auto"/>
          <w:kern w:val="0"/>
          <w:szCs w:val="21"/>
        </w:rPr>
      </w:pPr>
      <w:bookmarkStart w:id="707" w:name="_Toc287620752"/>
      <w:bookmarkStart w:id="708" w:name="_Toc95830722"/>
      <w:bookmarkStart w:id="709" w:name="_Toc277082619"/>
      <w:bookmarkStart w:id="710" w:name="_Toc430530501"/>
      <w:bookmarkStart w:id="711" w:name="_Toc287607813"/>
      <w:bookmarkStart w:id="712" w:name="_Toc509218777"/>
      <w:bookmarkStart w:id="713" w:name="_Toc200513199"/>
      <w:bookmarkStart w:id="714" w:name="_Toc224103385"/>
      <w:r>
        <w:rPr>
          <w:rFonts w:hint="eastAsia" w:ascii="宋体" w:hAnsi="宋体" w:eastAsia="宋体" w:cs="Times New Roman"/>
          <w:color w:val="auto"/>
          <w:kern w:val="0"/>
          <w:szCs w:val="21"/>
        </w:rPr>
        <w:t>本次评标采用经评审的最低投标价法，评标委员会按照本章第 2.1 款进行报价排序，按照本章第 2.2款进行符合性审查，符合性审查合格的投标人中按报价由低到高推荐中标候选人，或根据招标人授权直接确定中标人。若出现投标人投标报价相同的，以评标办法前附表约定的原则确定排序。</w:t>
      </w:r>
    </w:p>
    <w:p>
      <w:pPr>
        <w:pStyle w:val="5"/>
        <w:keepNext/>
        <w:keepLines/>
        <w:pageBreakBefore w:val="0"/>
        <w:widowControl w:val="0"/>
        <w:kinsoku/>
        <w:wordWrap/>
        <w:overflowPunct/>
        <w:topLinePunct w:val="0"/>
        <w:autoSpaceDE/>
        <w:autoSpaceDN/>
        <w:bidi w:val="0"/>
        <w:adjustRightInd/>
        <w:snapToGrid/>
        <w:spacing w:before="313" w:beforeLines="100" w:after="313" w:afterLines="100" w:line="420" w:lineRule="exact"/>
        <w:ind w:firstLine="643" w:firstLineChars="200"/>
        <w:jc w:val="center"/>
        <w:textAlignment w:val="auto"/>
        <w:rPr>
          <w:rFonts w:ascii="宋体" w:hAnsi="宋体" w:eastAsia="宋体" w:cs="Times New Roman"/>
          <w:b/>
          <w:bCs w:val="0"/>
          <w:snapToGrid w:val="0"/>
          <w:color w:val="auto"/>
          <w:sz w:val="32"/>
          <w:szCs w:val="32"/>
        </w:rPr>
      </w:pPr>
      <w:bookmarkStart w:id="715" w:name="_Toc18441"/>
      <w:bookmarkStart w:id="716" w:name="_Toc17416"/>
      <w:bookmarkStart w:id="717" w:name="_Toc25945"/>
      <w:bookmarkStart w:id="718" w:name="_Toc8941"/>
      <w:bookmarkStart w:id="719" w:name="_Toc7474"/>
      <w:r>
        <w:rPr>
          <w:rFonts w:ascii="宋体" w:hAnsi="宋体" w:eastAsia="宋体" w:cs="Times New Roman"/>
          <w:b/>
          <w:bCs w:val="0"/>
          <w:snapToGrid w:val="0"/>
          <w:color w:val="auto"/>
          <w:sz w:val="32"/>
          <w:szCs w:val="32"/>
        </w:rPr>
        <w:t>2.评审标准</w:t>
      </w:r>
      <w:bookmarkEnd w:id="707"/>
      <w:bookmarkEnd w:id="708"/>
      <w:bookmarkEnd w:id="709"/>
      <w:bookmarkEnd w:id="710"/>
      <w:bookmarkEnd w:id="711"/>
      <w:bookmarkEnd w:id="712"/>
      <w:bookmarkEnd w:id="713"/>
      <w:bookmarkEnd w:id="714"/>
      <w:bookmarkEnd w:id="715"/>
      <w:bookmarkEnd w:id="716"/>
      <w:bookmarkEnd w:id="717"/>
      <w:bookmarkEnd w:id="718"/>
      <w:bookmarkEnd w:id="719"/>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20" w:name="_Toc18043"/>
      <w:bookmarkStart w:id="721" w:name="_Toc287607816"/>
      <w:bookmarkStart w:id="722" w:name="_Toc509218780"/>
      <w:bookmarkStart w:id="723" w:name="_Toc224103388"/>
      <w:bookmarkStart w:id="724" w:name="_Toc287620755"/>
      <w:bookmarkStart w:id="725" w:name="_Toc95830725"/>
      <w:bookmarkStart w:id="726" w:name="_Toc200513202"/>
      <w:bookmarkStart w:id="727" w:name="_Toc430530504"/>
      <w:bookmarkStart w:id="728" w:name="_Toc277082622"/>
      <w:r>
        <w:rPr>
          <w:rFonts w:hint="eastAsia" w:ascii="宋体" w:hAnsi="宋体" w:eastAsia="宋体" w:cs="Times New Roman"/>
          <w:b/>
          <w:bCs w:val="0"/>
          <w:snapToGrid w:val="0"/>
          <w:color w:val="auto"/>
          <w:sz w:val="24"/>
          <w:szCs w:val="24"/>
          <w:lang w:val="en-US" w:eastAsia="zh-CN"/>
        </w:rPr>
        <w:t>2.1 报价 排序 标准</w:t>
      </w:r>
      <w:bookmarkEnd w:id="720"/>
    </w:p>
    <w:p>
      <w:pPr>
        <w:spacing w:before="0" w:after="0" w:line="420" w:lineRule="exact"/>
        <w:ind w:firstLine="420" w:firstLineChars="200"/>
        <w:outlineLvl w:val="9"/>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Times New Roman"/>
          <w:b w:val="0"/>
          <w:bCs w:val="0"/>
          <w:color w:val="auto"/>
          <w:kern w:val="0"/>
          <w:sz w:val="21"/>
          <w:szCs w:val="21"/>
          <w:lang w:val="en-US" w:eastAsia="zh-CN" w:bidi="ar-SA"/>
        </w:rPr>
        <w:t>见评标办法前附表。</w:t>
      </w:r>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29" w:name="_Toc19093"/>
      <w:r>
        <w:rPr>
          <w:rFonts w:hint="eastAsia" w:ascii="宋体" w:hAnsi="宋体" w:eastAsia="宋体" w:cs="Times New Roman"/>
          <w:b/>
          <w:bCs w:val="0"/>
          <w:snapToGrid w:val="0"/>
          <w:color w:val="auto"/>
          <w:sz w:val="24"/>
          <w:szCs w:val="24"/>
          <w:lang w:val="en-US" w:eastAsia="zh-CN"/>
        </w:rPr>
        <w:t>2.2 符合性审查标准</w:t>
      </w:r>
      <w:bookmarkEnd w:id="729"/>
    </w:p>
    <w:p>
      <w:pPr>
        <w:spacing w:before="0" w:after="0" w:line="420" w:lineRule="exact"/>
        <w:ind w:firstLine="420" w:firstLineChars="200"/>
        <w:outlineLvl w:val="9"/>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Times New Roman"/>
          <w:b w:val="0"/>
          <w:bCs w:val="0"/>
          <w:color w:val="auto"/>
          <w:kern w:val="0"/>
          <w:sz w:val="21"/>
          <w:szCs w:val="21"/>
          <w:lang w:val="en-US" w:eastAsia="zh-CN" w:bidi="ar-SA"/>
        </w:rPr>
        <w:t>按评标办法前附表约定的投标单位报价排序数量进行符合性审查。符合性审查内容：、资格评审、形式评审、响应性评审。</w:t>
      </w:r>
    </w:p>
    <w:p>
      <w:pPr>
        <w:spacing w:before="0" w:after="0" w:line="420" w:lineRule="exact"/>
        <w:ind w:firstLine="420" w:firstLineChars="200"/>
        <w:outlineLvl w:val="9"/>
        <w:rPr>
          <w:rFonts w:hint="eastAsia" w:ascii="宋体" w:hAnsi="宋体" w:eastAsia="宋体" w:cs="Times New Roman"/>
          <w:b w:val="0"/>
          <w:bCs w:val="0"/>
          <w:color w:val="auto"/>
          <w:kern w:val="0"/>
          <w:sz w:val="21"/>
          <w:szCs w:val="21"/>
          <w:lang w:val="en-US" w:eastAsia="zh-CN" w:bidi="ar-SA"/>
        </w:rPr>
      </w:pPr>
      <w:bookmarkStart w:id="730" w:name="_Toc16163"/>
      <w:bookmarkStart w:id="731" w:name="_Toc11141"/>
      <w:bookmarkStart w:id="732" w:name="_Toc21281"/>
      <w:bookmarkStart w:id="733" w:name="_Toc10538"/>
      <w:r>
        <w:rPr>
          <w:rFonts w:hint="eastAsia" w:ascii="宋体" w:hAnsi="宋体" w:eastAsia="宋体" w:cs="Times New Roman"/>
          <w:b w:val="0"/>
          <w:bCs w:val="0"/>
          <w:color w:val="auto"/>
          <w:kern w:val="0"/>
          <w:sz w:val="21"/>
          <w:szCs w:val="21"/>
          <w:lang w:val="en-US" w:eastAsia="zh-CN" w:bidi="ar-SA"/>
        </w:rPr>
        <w:t>2.2.1 资格评审标准：见评标办法前附表。</w:t>
      </w:r>
      <w:bookmarkEnd w:id="730"/>
      <w:bookmarkEnd w:id="731"/>
      <w:bookmarkEnd w:id="732"/>
      <w:bookmarkEnd w:id="733"/>
    </w:p>
    <w:p>
      <w:pPr>
        <w:spacing w:before="0" w:after="0" w:line="420" w:lineRule="exact"/>
        <w:ind w:firstLine="420" w:firstLineChars="200"/>
        <w:outlineLvl w:val="9"/>
        <w:rPr>
          <w:rFonts w:hint="eastAsia" w:ascii="宋体" w:hAnsi="宋体" w:eastAsia="宋体" w:cs="Times New Roman"/>
          <w:b w:val="0"/>
          <w:bCs w:val="0"/>
          <w:color w:val="auto"/>
          <w:kern w:val="0"/>
          <w:sz w:val="21"/>
          <w:szCs w:val="21"/>
          <w:lang w:val="en-US" w:eastAsia="zh-CN" w:bidi="ar-SA"/>
        </w:rPr>
      </w:pPr>
      <w:bookmarkStart w:id="734" w:name="_Toc26416"/>
      <w:bookmarkStart w:id="735" w:name="_Toc27983"/>
      <w:bookmarkStart w:id="736" w:name="_Toc29188"/>
      <w:bookmarkStart w:id="737" w:name="_Toc7806"/>
      <w:r>
        <w:rPr>
          <w:rFonts w:hint="eastAsia" w:ascii="宋体" w:hAnsi="宋体" w:eastAsia="宋体" w:cs="Times New Roman"/>
          <w:b w:val="0"/>
          <w:bCs w:val="0"/>
          <w:color w:val="auto"/>
          <w:kern w:val="0"/>
          <w:sz w:val="21"/>
          <w:szCs w:val="21"/>
          <w:lang w:val="en-US" w:eastAsia="zh-CN" w:bidi="ar-SA"/>
        </w:rPr>
        <w:t>2.2.2 形式评审标准：见评标办法前附表。</w:t>
      </w:r>
      <w:bookmarkEnd w:id="734"/>
      <w:bookmarkEnd w:id="735"/>
      <w:bookmarkEnd w:id="736"/>
      <w:bookmarkEnd w:id="737"/>
    </w:p>
    <w:p>
      <w:pPr>
        <w:spacing w:before="0" w:after="0" w:line="420" w:lineRule="exact"/>
        <w:ind w:firstLine="420" w:firstLineChars="200"/>
        <w:outlineLvl w:val="9"/>
        <w:rPr>
          <w:rFonts w:hint="eastAsia" w:ascii="宋体" w:hAnsi="宋体" w:eastAsia="宋体" w:cs="Times New Roman"/>
          <w:b w:val="0"/>
          <w:bCs w:val="0"/>
          <w:color w:val="auto"/>
          <w:kern w:val="0"/>
          <w:sz w:val="21"/>
          <w:szCs w:val="21"/>
          <w:lang w:val="en-US" w:eastAsia="zh-CN" w:bidi="ar-SA"/>
        </w:rPr>
      </w:pPr>
      <w:bookmarkStart w:id="738" w:name="_Toc23015"/>
      <w:bookmarkStart w:id="739" w:name="_Toc12500"/>
      <w:bookmarkStart w:id="740" w:name="_Toc12481"/>
      <w:bookmarkStart w:id="741" w:name="_Toc4225"/>
      <w:r>
        <w:rPr>
          <w:rFonts w:hint="eastAsia" w:ascii="宋体" w:hAnsi="宋体" w:eastAsia="宋体" w:cs="Times New Roman"/>
          <w:b w:val="0"/>
          <w:bCs w:val="0"/>
          <w:color w:val="auto"/>
          <w:kern w:val="0"/>
          <w:sz w:val="21"/>
          <w:szCs w:val="21"/>
          <w:lang w:val="en-US" w:eastAsia="zh-CN" w:bidi="ar-SA"/>
        </w:rPr>
        <w:t>2.2.3 响应性评审标准：见评标办法前附表。</w:t>
      </w:r>
      <w:bookmarkEnd w:id="738"/>
      <w:bookmarkEnd w:id="739"/>
      <w:bookmarkEnd w:id="740"/>
      <w:bookmarkEnd w:id="741"/>
    </w:p>
    <w:p>
      <w:pPr>
        <w:pStyle w:val="5"/>
        <w:keepNext/>
        <w:keepLines/>
        <w:pageBreakBefore w:val="0"/>
        <w:widowControl w:val="0"/>
        <w:kinsoku/>
        <w:wordWrap/>
        <w:overflowPunct/>
        <w:topLinePunct w:val="0"/>
        <w:autoSpaceDE/>
        <w:autoSpaceDN/>
        <w:bidi w:val="0"/>
        <w:adjustRightInd/>
        <w:snapToGrid/>
        <w:spacing w:before="313" w:beforeLines="100" w:after="313" w:afterLines="100" w:line="420" w:lineRule="exact"/>
        <w:ind w:firstLine="643" w:firstLineChars="200"/>
        <w:jc w:val="center"/>
        <w:textAlignment w:val="auto"/>
        <w:rPr>
          <w:rFonts w:ascii="宋体" w:hAnsi="宋体" w:eastAsia="宋体" w:cs="Times New Roman"/>
          <w:b/>
          <w:bCs w:val="0"/>
          <w:snapToGrid w:val="0"/>
          <w:color w:val="auto"/>
          <w:sz w:val="32"/>
          <w:szCs w:val="32"/>
        </w:rPr>
      </w:pPr>
      <w:bookmarkStart w:id="742" w:name="_Toc8955"/>
      <w:bookmarkStart w:id="743" w:name="_Toc18194"/>
      <w:bookmarkStart w:id="744" w:name="_Toc21424"/>
      <w:bookmarkStart w:id="745" w:name="_Toc5088"/>
      <w:bookmarkStart w:id="746" w:name="_Toc22612"/>
      <w:r>
        <w:rPr>
          <w:rFonts w:ascii="宋体" w:hAnsi="宋体" w:eastAsia="宋体" w:cs="Times New Roman"/>
          <w:b/>
          <w:bCs w:val="0"/>
          <w:snapToGrid w:val="0"/>
          <w:color w:val="auto"/>
          <w:sz w:val="32"/>
          <w:szCs w:val="32"/>
        </w:rPr>
        <w:t>3.评标程序</w:t>
      </w:r>
      <w:bookmarkEnd w:id="721"/>
      <w:bookmarkEnd w:id="722"/>
      <w:bookmarkEnd w:id="723"/>
      <w:bookmarkEnd w:id="724"/>
      <w:bookmarkEnd w:id="725"/>
      <w:bookmarkEnd w:id="726"/>
      <w:bookmarkEnd w:id="727"/>
      <w:bookmarkEnd w:id="728"/>
      <w:bookmarkEnd w:id="742"/>
      <w:bookmarkEnd w:id="743"/>
      <w:bookmarkEnd w:id="744"/>
      <w:bookmarkEnd w:id="745"/>
      <w:bookmarkEnd w:id="746"/>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47" w:name="_Toc11189"/>
      <w:r>
        <w:rPr>
          <w:rFonts w:hint="eastAsia" w:ascii="宋体" w:hAnsi="宋体" w:eastAsia="宋体" w:cs="Times New Roman"/>
          <w:b/>
          <w:bCs w:val="0"/>
          <w:snapToGrid w:val="0"/>
          <w:color w:val="auto"/>
          <w:sz w:val="24"/>
          <w:szCs w:val="24"/>
          <w:lang w:val="en-US" w:eastAsia="zh-CN"/>
        </w:rPr>
        <w:t>3.1 报价排序</w:t>
      </w:r>
      <w:bookmarkEnd w:id="747"/>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对报价不高于最高限价的所有投标人的投标文件，按照报价由低到高的顺序排序。</w:t>
      </w:r>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48" w:name="_Toc3702"/>
      <w:r>
        <w:rPr>
          <w:rFonts w:hint="eastAsia" w:ascii="宋体" w:hAnsi="宋体" w:eastAsia="宋体" w:cs="Times New Roman"/>
          <w:b/>
          <w:bCs w:val="0"/>
          <w:snapToGrid w:val="0"/>
          <w:color w:val="auto"/>
          <w:sz w:val="24"/>
          <w:szCs w:val="24"/>
          <w:lang w:val="en-US" w:eastAsia="zh-CN"/>
        </w:rPr>
        <w:t>3.2 符合性审查</w:t>
      </w:r>
      <w:bookmarkEnd w:id="748"/>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3.2.1 评标委员会依据本章第 2.2 款规定的标准对投标文件进行符合性审查。符合性审查顺序：资格评审、形式评审、响应性评审。</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按照资格、形式、响应性的顺序进行评审。有一项不符合评审标准的，作否决投标处理。</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3.2.2 投标人有以下情形之一的，其投标文件将被否决：</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（1）第二章“投标人须知”第 1.4.3 项规定的任何一种情形的；</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（2）本次投标有串通投标、弄虚作假等其他违反招投标相关法律、法规行为的；</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（3）拒绝按评标委员会要求澄清、说明或补正的。</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3.2.3 投标报价有算术错误的，评标委员会按以下原则对投标报价进行修正，修正的价格经投标人书面确认后具有约束力，修正原则如下：</w:t>
      </w:r>
    </w:p>
    <w:p>
      <w:pPr>
        <w:spacing w:line="420" w:lineRule="exact"/>
        <w:ind w:firstLine="200"/>
        <w:outlineLvl w:val="9"/>
        <w:rPr>
          <w:rFonts w:hint="eastAsia" w:ascii="宋体" w:hAnsi="宋体"/>
          <w:color w:val="auto"/>
          <w:kern w:val="0"/>
          <w:szCs w:val="21"/>
        </w:rPr>
      </w:pPr>
      <w:r>
        <w:rPr>
          <w:rFonts w:hint="eastAsia" w:ascii="宋体" w:hAnsi="宋体"/>
          <w:color w:val="auto"/>
          <w:kern w:val="0"/>
          <w:szCs w:val="21"/>
        </w:rPr>
        <w:t>（1）投标文件中的大写金额与小写金额不一致的，以大写金额为准；</w:t>
      </w:r>
    </w:p>
    <w:p>
      <w:pPr>
        <w:spacing w:line="420" w:lineRule="exact"/>
        <w:ind w:firstLine="200"/>
        <w:outlineLvl w:val="9"/>
        <w:rPr>
          <w:rFonts w:ascii="宋体" w:hAnsi="宋体"/>
          <w:color w:val="auto"/>
          <w:kern w:val="0"/>
          <w:szCs w:val="21"/>
        </w:rPr>
      </w:pPr>
      <w:r>
        <w:rPr>
          <w:rFonts w:hint="eastAsia" w:ascii="宋体" w:hAnsi="宋体"/>
          <w:color w:val="auto"/>
          <w:kern w:val="0"/>
          <w:szCs w:val="21"/>
        </w:rPr>
        <w:t>（2）投标函中的总报价与已标价工程量清单总报价不一致的，由评标委员会作否决投标处理。</w:t>
      </w:r>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49" w:name="_Toc30513"/>
      <w:r>
        <w:rPr>
          <w:rFonts w:hint="eastAsia" w:ascii="宋体" w:hAnsi="宋体" w:eastAsia="宋体" w:cs="Times New Roman"/>
          <w:b/>
          <w:bCs w:val="0"/>
          <w:snapToGrid w:val="0"/>
          <w:color w:val="auto"/>
          <w:sz w:val="24"/>
          <w:szCs w:val="24"/>
          <w:lang w:val="en-US" w:eastAsia="zh-CN"/>
        </w:rPr>
        <w:t>3.3 投标文件的澄清和补正</w:t>
      </w:r>
      <w:bookmarkEnd w:id="749"/>
    </w:p>
    <w:p>
      <w:pPr>
        <w:spacing w:line="420" w:lineRule="exact"/>
        <w:ind w:firstLine="200"/>
        <w:outlineLvl w:val="9"/>
        <w:rPr>
          <w:rFonts w:hint="eastAsia" w:ascii="宋体" w:hAnsi="宋体"/>
          <w:color w:val="auto"/>
          <w:szCs w:val="21"/>
        </w:rPr>
      </w:pPr>
      <w:r>
        <w:rPr>
          <w:rFonts w:hint="eastAsia" w:ascii="宋体" w:hAnsi="宋体"/>
          <w:color w:val="auto"/>
          <w:szCs w:val="21"/>
        </w:rPr>
        <w:t>3.3.1 在评标过程中，评标委员会可以要求投标人对所提交投标文件中不明确的内容进行书面澄清或说明，或者对细微偏差进行补正。评标委员会不接受投标人主动提出的澄清、说明或补正。</w:t>
      </w:r>
    </w:p>
    <w:p>
      <w:pPr>
        <w:spacing w:line="420" w:lineRule="exact"/>
        <w:ind w:firstLine="200"/>
        <w:outlineLvl w:val="9"/>
        <w:rPr>
          <w:rFonts w:hint="eastAsia" w:ascii="宋体" w:hAnsi="宋体"/>
          <w:color w:val="auto"/>
          <w:szCs w:val="21"/>
        </w:rPr>
      </w:pPr>
      <w:r>
        <w:rPr>
          <w:rFonts w:hint="eastAsia" w:ascii="宋体" w:hAnsi="宋体"/>
          <w:color w:val="auto"/>
          <w:szCs w:val="21"/>
        </w:rPr>
        <w:t>3.3.2 澄清、说明和补正不得改变投标文件的实质性内容（算术性错误修正的除外）。投标人的书面澄清、说明和补正属于投标文件的组成部分。</w:t>
      </w:r>
    </w:p>
    <w:p>
      <w:pPr>
        <w:spacing w:line="420" w:lineRule="exact"/>
        <w:ind w:firstLine="200"/>
        <w:outlineLvl w:val="9"/>
        <w:rPr>
          <w:rFonts w:hint="eastAsia" w:ascii="宋体" w:hAnsi="宋体"/>
          <w:color w:val="auto"/>
          <w:szCs w:val="21"/>
        </w:rPr>
      </w:pPr>
      <w:r>
        <w:rPr>
          <w:rFonts w:hint="eastAsia" w:ascii="宋体" w:hAnsi="宋体"/>
          <w:color w:val="auto"/>
          <w:szCs w:val="21"/>
        </w:rPr>
        <w:t>3.3.3 评标委员会对投标人提交的澄清、说明或补正有疑问的，可以要求投标人进一步澄清、说明或补正，直至满足评标委员会的要求。</w:t>
      </w:r>
    </w:p>
    <w:p>
      <w:pPr>
        <w:snapToGrid w:val="0"/>
        <w:spacing w:before="0" w:after="0" w:line="420" w:lineRule="exact"/>
        <w:outlineLvl w:val="9"/>
        <w:rPr>
          <w:rFonts w:hint="eastAsia" w:ascii="宋体" w:hAnsi="宋体" w:eastAsia="宋体" w:cs="Times New Roman"/>
          <w:b/>
          <w:bCs w:val="0"/>
          <w:snapToGrid w:val="0"/>
          <w:color w:val="auto"/>
          <w:sz w:val="24"/>
          <w:szCs w:val="24"/>
          <w:lang w:val="en-US" w:eastAsia="zh-CN"/>
        </w:rPr>
      </w:pPr>
      <w:bookmarkStart w:id="750" w:name="_Toc21239"/>
      <w:r>
        <w:rPr>
          <w:rFonts w:hint="eastAsia" w:ascii="宋体" w:hAnsi="宋体" w:eastAsia="宋体" w:cs="Times New Roman"/>
          <w:b/>
          <w:bCs w:val="0"/>
          <w:snapToGrid w:val="0"/>
          <w:color w:val="auto"/>
          <w:sz w:val="24"/>
          <w:szCs w:val="24"/>
          <w:lang w:val="en-US" w:eastAsia="zh-CN"/>
        </w:rPr>
        <w:t>3.4 评标结果</w:t>
      </w:r>
      <w:bookmarkEnd w:id="750"/>
    </w:p>
    <w:p>
      <w:pPr>
        <w:spacing w:line="420" w:lineRule="exact"/>
        <w:ind w:firstLine="200"/>
        <w:outlineLvl w:val="9"/>
        <w:rPr>
          <w:rFonts w:hint="eastAsia" w:ascii="宋体" w:hAnsi="宋体"/>
          <w:color w:val="auto"/>
          <w:szCs w:val="21"/>
        </w:rPr>
      </w:pPr>
      <w:r>
        <w:rPr>
          <w:rFonts w:hint="eastAsia" w:ascii="宋体" w:hAnsi="宋体"/>
          <w:color w:val="auto"/>
          <w:szCs w:val="21"/>
        </w:rPr>
        <w:t>3.4.1除第二章“投标人须知”前附表授权直接确定中标人外，评标委员会按经评审的最低投标价法推荐中标候选人。</w:t>
      </w:r>
    </w:p>
    <w:p>
      <w:pPr>
        <w:spacing w:line="420" w:lineRule="exact"/>
        <w:ind w:firstLine="200"/>
        <w:outlineLvl w:val="9"/>
        <w:rPr>
          <w:rFonts w:ascii="宋体" w:hAnsi="宋体"/>
          <w:color w:val="auto"/>
          <w:szCs w:val="21"/>
        </w:rPr>
      </w:pPr>
      <w:r>
        <w:rPr>
          <w:rFonts w:hint="eastAsia" w:ascii="宋体" w:hAnsi="宋体"/>
          <w:color w:val="auto"/>
          <w:szCs w:val="21"/>
        </w:rPr>
        <w:t>3.4.2 评标委员会完成评标后，应当向招标人提交书面评标报告和中标候选人名单。</w:t>
      </w:r>
    </w:p>
    <w:p>
      <w:pPr>
        <w:pStyle w:val="2"/>
        <w:spacing w:after="0" w:line="420" w:lineRule="exact"/>
        <w:ind w:firstLine="200"/>
        <w:outlineLvl w:val="9"/>
        <w:rPr>
          <w:rFonts w:hint="default" w:ascii="宋体" w:hAnsi="宋体" w:eastAsia="宋体"/>
          <w:color w:val="auto"/>
          <w:szCs w:val="21"/>
          <w:lang w:val="en-US" w:eastAsia="zh-CN"/>
        </w:rPr>
      </w:pPr>
      <w:r>
        <w:rPr>
          <w:rFonts w:hint="eastAsia" w:ascii="宋体" w:hAnsi="宋体"/>
          <w:color w:val="auto"/>
          <w:szCs w:val="21"/>
          <w:lang w:val="en-US" w:eastAsia="zh-CN"/>
        </w:rPr>
        <w:t>3.4.3 招标人在收到书面评标报告和中标候选人名单后应当确定排名第一的中标候选人为中标人。</w:t>
      </w: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2"/>
        <w:spacing w:after="0" w:line="420" w:lineRule="exact"/>
        <w:ind w:firstLine="200"/>
        <w:rPr>
          <w:rFonts w:ascii="宋体" w:hAnsi="宋体"/>
          <w:color w:val="auto"/>
          <w:szCs w:val="21"/>
        </w:rPr>
      </w:pPr>
    </w:p>
    <w:p>
      <w:pPr>
        <w:spacing w:line="420" w:lineRule="exact"/>
        <w:ind w:firstLine="200"/>
        <w:rPr>
          <w:rFonts w:ascii="宋体" w:hAnsi="宋体"/>
          <w:color w:val="auto"/>
          <w:szCs w:val="21"/>
        </w:rPr>
      </w:pPr>
    </w:p>
    <w:p>
      <w:pPr>
        <w:pStyle w:val="15"/>
        <w:spacing w:line="420" w:lineRule="exact"/>
        <w:rPr>
          <w:rFonts w:ascii="宋体" w:hAnsi="宋体"/>
          <w:b/>
          <w:color w:val="auto"/>
          <w:sz w:val="28"/>
          <w:szCs w:val="28"/>
          <w:u w:val="none"/>
          <w:lang w:eastAsia="zh-CN"/>
        </w:rPr>
      </w:pPr>
      <w:bookmarkStart w:id="751" w:name="招标文件04章合同条款及格式"/>
      <w:bookmarkEnd w:id="751"/>
      <w:bookmarkStart w:id="752" w:name="招标文件03章02评标办法综合评估法02附件02"/>
      <w:bookmarkEnd w:id="752"/>
      <w:bookmarkStart w:id="753" w:name="_Toc230410480"/>
      <w:bookmarkStart w:id="754" w:name="_Toc277082627"/>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rPr>
          <w:rFonts w:ascii="宋体" w:hAnsi="宋体"/>
          <w:b/>
          <w:color w:val="auto"/>
          <w:sz w:val="28"/>
          <w:szCs w:val="28"/>
          <w:u w:val="none"/>
          <w:lang w:eastAsia="zh-CN"/>
        </w:rPr>
      </w:pPr>
    </w:p>
    <w:p>
      <w:pPr>
        <w:pStyle w:val="15"/>
        <w:spacing w:line="420" w:lineRule="exact"/>
        <w:outlineLvl w:val="2"/>
        <w:rPr>
          <w:rFonts w:ascii="宋体" w:hAnsi="宋体"/>
          <w:b/>
          <w:color w:val="auto"/>
          <w:sz w:val="28"/>
          <w:szCs w:val="28"/>
          <w:u w:val="none"/>
          <w:lang w:eastAsia="zh-CN"/>
        </w:rPr>
      </w:pPr>
      <w:bookmarkStart w:id="755" w:name="_Toc25326"/>
      <w:bookmarkStart w:id="756" w:name="_Toc31007"/>
      <w:bookmarkStart w:id="757" w:name="_Toc26198"/>
      <w:bookmarkStart w:id="758" w:name="_Toc10857"/>
      <w:bookmarkStart w:id="759" w:name="_Toc18672"/>
      <w:r>
        <w:rPr>
          <w:rFonts w:ascii="宋体" w:hAnsi="宋体"/>
          <w:b/>
          <w:color w:val="auto"/>
          <w:sz w:val="28"/>
          <w:szCs w:val="28"/>
          <w:u w:val="none"/>
          <w:lang w:eastAsia="zh-CN"/>
        </w:rPr>
        <w:t>附件A：</w:t>
      </w:r>
      <w:r>
        <w:rPr>
          <w:rFonts w:hint="eastAsia" w:ascii="宋体" w:hAnsi="宋体"/>
          <w:b/>
          <w:color w:val="auto"/>
          <w:sz w:val="28"/>
          <w:szCs w:val="28"/>
          <w:u w:val="none"/>
          <w:lang w:val="en-US" w:eastAsia="zh-CN"/>
        </w:rPr>
        <w:t>经评审的最低投标价法</w:t>
      </w:r>
      <w:r>
        <w:rPr>
          <w:rFonts w:ascii="宋体" w:hAnsi="宋体"/>
          <w:b/>
          <w:color w:val="auto"/>
          <w:sz w:val="28"/>
          <w:szCs w:val="28"/>
          <w:u w:val="none"/>
          <w:lang w:eastAsia="zh-CN"/>
        </w:rPr>
        <w:t>否决投标情况一览表</w:t>
      </w:r>
      <w:bookmarkEnd w:id="753"/>
      <w:bookmarkEnd w:id="755"/>
      <w:bookmarkEnd w:id="756"/>
      <w:bookmarkEnd w:id="757"/>
      <w:bookmarkEnd w:id="758"/>
      <w:bookmarkEnd w:id="759"/>
    </w:p>
    <w:bookmarkEnd w:id="754"/>
    <w:p>
      <w:pPr>
        <w:pStyle w:val="15"/>
        <w:spacing w:line="420" w:lineRule="exact"/>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p>
    <w:tbl>
      <w:tblPr>
        <w:tblStyle w:val="19"/>
        <w:tblW w:w="929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635"/>
        <w:gridCol w:w="765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Align w:val="center"/>
          </w:tcPr>
          <w:p>
            <w:pPr>
              <w:spacing w:line="420" w:lineRule="exact"/>
              <w:jc w:val="center"/>
              <w:rPr>
                <w:rFonts w:ascii="宋体" w:hAnsi="宋体"/>
                <w:b/>
                <w:color w:val="auto"/>
                <w:szCs w:val="21"/>
              </w:rPr>
            </w:pPr>
            <w:r>
              <w:rPr>
                <w:rFonts w:ascii="宋体" w:hAnsi="宋体"/>
                <w:b/>
                <w:color w:val="auto"/>
                <w:szCs w:val="21"/>
              </w:rPr>
              <w:t>条款名称</w:t>
            </w:r>
          </w:p>
        </w:tc>
        <w:tc>
          <w:tcPr>
            <w:tcW w:w="7655" w:type="dxa"/>
            <w:vAlign w:val="center"/>
          </w:tcPr>
          <w:p>
            <w:pPr>
              <w:spacing w:line="420" w:lineRule="exact"/>
              <w:jc w:val="center"/>
              <w:rPr>
                <w:rFonts w:ascii="宋体" w:hAnsi="宋体"/>
                <w:b/>
                <w:color w:val="auto"/>
                <w:szCs w:val="21"/>
              </w:rPr>
            </w:pPr>
            <w:r>
              <w:rPr>
                <w:rFonts w:ascii="宋体" w:hAnsi="宋体"/>
                <w:b/>
                <w:color w:val="auto"/>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635" w:type="dxa"/>
            <w:vMerge w:val="restart"/>
            <w:vAlign w:val="center"/>
          </w:tcPr>
          <w:p>
            <w:pPr>
              <w:spacing w:line="420" w:lineRule="exact"/>
              <w:jc w:val="center"/>
              <w:rPr>
                <w:rFonts w:ascii="宋体" w:hAnsi="宋体"/>
                <w:color w:val="auto"/>
                <w:szCs w:val="21"/>
              </w:rPr>
            </w:pPr>
            <w:r>
              <w:rPr>
                <w:rFonts w:hint="eastAsia" w:ascii="宋体" w:hAnsi="宋体"/>
                <w:color w:val="auto"/>
                <w:szCs w:val="21"/>
              </w:rPr>
              <w:t>资格评审</w:t>
            </w: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A-1 投标人的资质条件、</w:t>
            </w:r>
            <w:r>
              <w:rPr>
                <w:rFonts w:hint="eastAsia" w:ascii="宋体" w:hAnsi="宋体"/>
                <w:color w:val="auto"/>
                <w:szCs w:val="21"/>
                <w:lang w:val="en-US" w:eastAsia="zh-CN"/>
              </w:rPr>
              <w:t>能力和信誉</w:t>
            </w:r>
            <w:r>
              <w:rPr>
                <w:rFonts w:hint="eastAsia" w:ascii="宋体" w:hAnsi="宋体"/>
                <w:color w:val="auto"/>
                <w:szCs w:val="21"/>
              </w:rPr>
              <w:t>须满足投标人须知前附表第 1.4.1 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4" w:hRule="atLeast"/>
          <w:tblHeade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w:t>
            </w:r>
            <w:r>
              <w:rPr>
                <w:rFonts w:hint="eastAsia" w:ascii="宋体" w:hAnsi="宋体"/>
                <w:color w:val="auto"/>
                <w:szCs w:val="21"/>
              </w:rPr>
              <w:t xml:space="preserve"> 投标人的投标截止日投标资格情况须满足投标人须知前附表 1.4.1 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restart"/>
            <w:vAlign w:val="center"/>
          </w:tcPr>
          <w:p>
            <w:pPr>
              <w:spacing w:line="420" w:lineRule="exact"/>
              <w:jc w:val="center"/>
              <w:rPr>
                <w:rFonts w:ascii="宋体" w:hAnsi="宋体"/>
                <w:color w:val="auto"/>
                <w:szCs w:val="21"/>
              </w:rPr>
            </w:pPr>
            <w:r>
              <w:rPr>
                <w:rFonts w:hint="eastAsia" w:ascii="宋体" w:hAnsi="宋体"/>
                <w:color w:val="auto"/>
                <w:szCs w:val="21"/>
              </w:rPr>
              <w:t>形式评审</w:t>
            </w: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3</w:t>
            </w:r>
            <w:r>
              <w:rPr>
                <w:rFonts w:hint="eastAsia" w:ascii="宋体" w:hAnsi="宋体"/>
                <w:color w:val="auto"/>
                <w:szCs w:val="21"/>
              </w:rPr>
              <w:t xml:space="preserve"> 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4</w:t>
            </w:r>
            <w:r>
              <w:rPr>
                <w:rFonts w:hint="eastAsia" w:ascii="宋体" w:hAnsi="宋体"/>
                <w:color w:val="auto"/>
                <w:szCs w:val="21"/>
              </w:rPr>
              <w:t xml:space="preserve"> 投标函格式规定签名、盖章的位置有法定代表人或其委托代理人签名（或盖章）、加盖单位</w:t>
            </w:r>
            <w:r>
              <w:rPr>
                <w:rFonts w:hint="eastAsia" w:ascii="宋体" w:hAnsi="宋体"/>
                <w:color w:val="auto"/>
                <w:szCs w:val="21"/>
                <w:lang w:val="en-US" w:eastAsia="zh-CN"/>
              </w:rPr>
              <w:t>公</w:t>
            </w:r>
            <w:r>
              <w:rPr>
                <w:rFonts w:hint="eastAsia" w:ascii="宋体" w:hAnsi="宋体"/>
                <w:color w:val="auto"/>
                <w:szCs w:val="21"/>
              </w:rPr>
              <w:t>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5</w:t>
            </w:r>
            <w:r>
              <w:rPr>
                <w:rFonts w:hint="eastAsia" w:ascii="宋体" w:hAnsi="宋体"/>
                <w:color w:val="auto"/>
                <w:szCs w:val="21"/>
              </w:rPr>
              <w:t xml:space="preserve"> 投标文件格式符合第二章“投标人须知”第 3.</w:t>
            </w:r>
            <w:r>
              <w:rPr>
                <w:rFonts w:hint="eastAsia" w:ascii="宋体" w:hAnsi="宋体"/>
                <w:color w:val="auto"/>
                <w:szCs w:val="21"/>
                <w:lang w:val="en-US" w:eastAsia="zh-CN"/>
              </w:rPr>
              <w:t>7.1</w:t>
            </w:r>
            <w:r>
              <w:rPr>
                <w:rFonts w:hint="eastAsia" w:ascii="宋体" w:hAnsi="宋体"/>
                <w:color w:val="auto"/>
                <w:szCs w:val="21"/>
              </w:rPr>
              <w:t xml:space="preserve"> 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 xml:space="preserve">6 </w:t>
            </w:r>
            <w:r>
              <w:rPr>
                <w:rFonts w:hint="eastAsia" w:ascii="宋体" w:hAnsi="宋体"/>
                <w:color w:val="auto"/>
                <w:szCs w:val="21"/>
              </w:rPr>
              <w:t>投标文件份数符合第二章“投标人须知”第3.7.4项的规定，否则由评标委员会作否决投标处理。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7</w:t>
            </w:r>
            <w:r>
              <w:rPr>
                <w:rFonts w:hint="eastAsia" w:ascii="宋体" w:hAnsi="宋体"/>
                <w:color w:val="auto"/>
                <w:szCs w:val="21"/>
              </w:rPr>
              <w:t xml:space="preserve"> 只能有一个有效报价。不得提交选择性报价，否则由评标委员会作否决投标处理。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 xml:space="preserve">8 </w:t>
            </w:r>
            <w:r>
              <w:rPr>
                <w:rFonts w:hint="eastAsia" w:ascii="宋体" w:hAnsi="宋体"/>
                <w:color w:val="auto"/>
                <w:szCs w:val="21"/>
              </w:rPr>
              <w:t>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9</w:t>
            </w:r>
            <w:r>
              <w:rPr>
                <w:rFonts w:hint="eastAsia" w:ascii="宋体" w:hAnsi="宋体"/>
                <w:color w:val="auto"/>
                <w:szCs w:val="21"/>
              </w:rPr>
              <w:t xml:space="preserve"> 投标总报价</w:t>
            </w:r>
            <w:r>
              <w:rPr>
                <w:rFonts w:hint="eastAsia" w:ascii="宋体" w:hAnsi="宋体"/>
                <w:color w:val="auto"/>
                <w:szCs w:val="21"/>
                <w:lang w:val="en-US" w:eastAsia="zh-CN"/>
              </w:rPr>
              <w:t>及分项报价均</w:t>
            </w:r>
            <w:r>
              <w:rPr>
                <w:rFonts w:hint="eastAsia" w:ascii="宋体" w:hAnsi="宋体"/>
                <w:color w:val="auto"/>
                <w:szCs w:val="21"/>
              </w:rPr>
              <w:t>不得高于招标人公布的最高限价，否则由评标委员会作否决投标处理。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0</w:t>
            </w:r>
            <w:r>
              <w:rPr>
                <w:rFonts w:hint="eastAsia" w:ascii="宋体" w:hAnsi="宋体"/>
                <w:color w:val="auto"/>
                <w:szCs w:val="21"/>
              </w:rPr>
              <w:t xml:space="preserve"> 投标总报价低于最高限价 8</w:t>
            </w:r>
            <w:r>
              <w:rPr>
                <w:rFonts w:hint="eastAsia" w:ascii="宋体" w:hAnsi="宋体"/>
                <w:color w:val="auto"/>
                <w:szCs w:val="21"/>
                <w:lang w:val="en-US" w:eastAsia="zh-CN"/>
              </w:rPr>
              <w:t>0</w:t>
            </w:r>
            <w:r>
              <w:rPr>
                <w:rFonts w:hint="eastAsia" w:ascii="宋体" w:hAnsi="宋体"/>
                <w:color w:val="auto"/>
                <w:szCs w:val="21"/>
              </w:rPr>
              <w:t>%的，投标人应在编制投标文件时，在投标函部分中递交低价风险担保提交承诺书。承诺书格式详见第</w:t>
            </w:r>
            <w:r>
              <w:rPr>
                <w:rFonts w:hint="eastAsia" w:ascii="宋体" w:hAnsi="宋体"/>
                <w:color w:val="auto"/>
                <w:szCs w:val="21"/>
                <w:lang w:val="en-US" w:eastAsia="zh-CN"/>
              </w:rPr>
              <w:t>七</w:t>
            </w:r>
            <w:r>
              <w:rPr>
                <w:rFonts w:hint="eastAsia" w:ascii="宋体" w:hAnsi="宋体"/>
                <w:color w:val="auto"/>
                <w:szCs w:val="21"/>
              </w:rPr>
              <w:t>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1</w:t>
            </w:r>
            <w:r>
              <w:rPr>
                <w:rFonts w:hint="eastAsia" w:ascii="宋体" w:hAnsi="宋体"/>
                <w:color w:val="auto"/>
                <w:szCs w:val="21"/>
              </w:rPr>
              <w:t xml:space="preserve"> 工期符合第二章“投标人须知”第 1.3.2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2</w:t>
            </w:r>
            <w:r>
              <w:rPr>
                <w:rFonts w:hint="eastAsia" w:ascii="宋体" w:hAnsi="宋体"/>
                <w:color w:val="auto"/>
                <w:szCs w:val="21"/>
              </w:rPr>
              <w:t xml:space="preserve"> 工程质量符合第二章“投标人须知”第 1.3.3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13</w:t>
            </w:r>
            <w:r>
              <w:rPr>
                <w:rFonts w:hint="eastAsia" w:ascii="宋体" w:hAnsi="宋体"/>
                <w:color w:val="auto"/>
                <w:szCs w:val="21"/>
              </w:rPr>
              <w:t xml:space="preserve"> 投标有效期符合第二章“投标人须知”第 3.3.1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color w:val="auto"/>
                <w:szCs w:val="21"/>
              </w:rPr>
            </w:pPr>
          </w:p>
        </w:tc>
        <w:tc>
          <w:tcPr>
            <w:tcW w:w="7655" w:type="dxa"/>
            <w:vAlign w:val="center"/>
          </w:tcPr>
          <w:p>
            <w:pPr>
              <w:spacing w:line="42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14</w:t>
            </w:r>
            <w:r>
              <w:rPr>
                <w:rFonts w:hint="eastAsia" w:ascii="宋体" w:hAnsi="宋体"/>
                <w:color w:val="auto"/>
                <w:szCs w:val="21"/>
              </w:rPr>
              <w:t xml:space="preserve"> 投标人应按投标人须知前附表第 3.4 款的规定递交投标保证金，并作为其投标文件的组成部分，否则由评标委员会作否决投标处理。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hint="eastAsia" w:ascii="宋体" w:hAnsi="宋体"/>
                <w:color w:val="auto"/>
                <w:szCs w:val="21"/>
              </w:rPr>
            </w:pPr>
          </w:p>
        </w:tc>
        <w:tc>
          <w:tcPr>
            <w:tcW w:w="7655" w:type="dxa"/>
          </w:tcPr>
          <w:p>
            <w:pPr>
              <w:spacing w:line="420" w:lineRule="exact"/>
              <w:ind w:firstLine="420" w:firstLineChars="200"/>
              <w:rPr>
                <w:rFonts w:hint="eastAsia"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15</w:t>
            </w:r>
            <w:r>
              <w:rPr>
                <w:rFonts w:hint="eastAsia" w:ascii="宋体" w:hAnsi="宋体"/>
                <w:color w:val="auto"/>
                <w:szCs w:val="21"/>
              </w:rPr>
              <w:t xml:space="preserve"> 投标报价有算术错误的，按照第三章“评标办法”第 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hint="eastAsia" w:ascii="宋体" w:hAnsi="宋体"/>
                <w:color w:val="auto"/>
                <w:szCs w:val="21"/>
              </w:rPr>
            </w:pPr>
          </w:p>
        </w:tc>
        <w:tc>
          <w:tcPr>
            <w:tcW w:w="7655" w:type="dxa"/>
          </w:tcPr>
          <w:p>
            <w:pPr>
              <w:spacing w:line="420" w:lineRule="exact"/>
              <w:ind w:firstLine="420" w:firstLineChars="200"/>
              <w:rPr>
                <w:rFonts w:hint="eastAsia"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16</w:t>
            </w:r>
            <w:r>
              <w:rPr>
                <w:rFonts w:hint="eastAsia" w:ascii="宋体" w:hAnsi="宋体"/>
                <w:color w:val="auto"/>
                <w:szCs w:val="21"/>
              </w:rPr>
              <w:t xml:space="preserve"> 投标人有以下情形之一的，其投标文件由评标委员会作否决投标处理：</w:t>
            </w:r>
          </w:p>
          <w:p>
            <w:pPr>
              <w:spacing w:line="420" w:lineRule="exact"/>
              <w:ind w:firstLine="420" w:firstLineChars="200"/>
              <w:rPr>
                <w:rFonts w:hint="eastAsia" w:ascii="宋体" w:hAnsi="宋体"/>
                <w:color w:val="auto"/>
                <w:szCs w:val="21"/>
              </w:rPr>
            </w:pPr>
            <w:r>
              <w:rPr>
                <w:rFonts w:hint="eastAsia" w:ascii="宋体" w:hAnsi="宋体"/>
                <w:color w:val="auto"/>
                <w:szCs w:val="21"/>
              </w:rPr>
              <w:t>1.第二章“投标人须知”第 1.4.3 项规定的任何一种情形的；</w:t>
            </w:r>
          </w:p>
          <w:p>
            <w:pPr>
              <w:spacing w:line="420" w:lineRule="exact"/>
              <w:ind w:left="420" w:leftChars="200" w:firstLine="0" w:firstLineChars="0"/>
              <w:rPr>
                <w:rFonts w:hint="eastAsia" w:ascii="宋体" w:hAnsi="宋体" w:eastAsia="宋体"/>
                <w:color w:val="auto"/>
                <w:szCs w:val="21"/>
                <w:lang w:eastAsia="zh-CN"/>
              </w:rPr>
            </w:pPr>
            <w:r>
              <w:rPr>
                <w:rFonts w:hint="eastAsia" w:ascii="宋体" w:hAnsi="宋体"/>
                <w:color w:val="auto"/>
                <w:szCs w:val="21"/>
              </w:rPr>
              <w:t>2.本次投标有串通投标、弄虚作假等违反招投标相关法律、法规的行为的</w:t>
            </w:r>
            <w:r>
              <w:rPr>
                <w:rFonts w:hint="eastAsia" w:ascii="宋体" w:hAnsi="宋体"/>
                <w:color w:val="auto"/>
                <w:szCs w:val="21"/>
                <w:lang w:eastAsia="zh-CN"/>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Align w:val="center"/>
          </w:tcPr>
          <w:p>
            <w:pPr>
              <w:spacing w:line="420" w:lineRule="exact"/>
              <w:jc w:val="center"/>
              <w:rPr>
                <w:rFonts w:ascii="宋体" w:hAnsi="宋体"/>
                <w:color w:val="auto"/>
                <w:szCs w:val="21"/>
              </w:rPr>
            </w:pPr>
            <w:r>
              <w:rPr>
                <w:rFonts w:hint="eastAsia" w:ascii="宋体" w:hAnsi="宋体"/>
                <w:color w:val="auto"/>
                <w:szCs w:val="21"/>
              </w:rPr>
              <w:t>其他</w:t>
            </w:r>
          </w:p>
        </w:tc>
        <w:tc>
          <w:tcPr>
            <w:tcW w:w="7655" w:type="dxa"/>
          </w:tcPr>
          <w:p>
            <w:pPr>
              <w:spacing w:line="420" w:lineRule="exact"/>
              <w:ind w:firstLine="420" w:firstLineChars="200"/>
              <w:rPr>
                <w:rFonts w:ascii="宋体" w:hAnsi="宋体"/>
                <w:color w:val="auto"/>
                <w:szCs w:val="21"/>
              </w:rPr>
            </w:pPr>
            <w:r>
              <w:rPr>
                <w:rFonts w:hint="eastAsia" w:ascii="宋体" w:hAnsi="宋体"/>
                <w:color w:val="auto"/>
                <w:szCs w:val="21"/>
              </w:rPr>
              <w:t>无</w:t>
            </w:r>
          </w:p>
        </w:tc>
      </w:tr>
    </w:tbl>
    <w:p>
      <w:pPr>
        <w:pStyle w:val="4"/>
        <w:numPr>
          <w:ilvl w:val="0"/>
          <w:numId w:val="3"/>
        </w:numPr>
        <w:spacing w:line="360" w:lineRule="auto"/>
        <w:jc w:val="center"/>
        <w:outlineLvl w:val="1"/>
        <w:rPr>
          <w:rFonts w:hint="eastAsia" w:ascii="宋体" w:hAnsi="宋体"/>
          <w:color w:val="auto"/>
        </w:rPr>
      </w:pPr>
      <w:r>
        <w:rPr>
          <w:rFonts w:ascii="宋体" w:hAnsi="宋体"/>
          <w:color w:val="auto"/>
          <w:kern w:val="0"/>
        </w:rPr>
        <w:br w:type="page"/>
      </w:r>
      <w:bookmarkStart w:id="760" w:name="_Toc509218785"/>
      <w:bookmarkStart w:id="761" w:name="_Toc95830730"/>
      <w:bookmarkStart w:id="762" w:name="_Toc430530509"/>
      <w:r>
        <w:rPr>
          <w:rFonts w:hint="eastAsia" w:ascii="宋体" w:hAnsi="宋体"/>
          <w:color w:val="auto"/>
        </w:rPr>
        <w:t xml:space="preserve"> </w:t>
      </w:r>
      <w:bookmarkStart w:id="763" w:name="_Toc3170"/>
      <w:bookmarkStart w:id="764" w:name="_Toc22942"/>
      <w:bookmarkStart w:id="765" w:name="_Toc31056"/>
      <w:bookmarkStart w:id="766" w:name="_Toc9162"/>
      <w:bookmarkStart w:id="767" w:name="_Toc24676"/>
      <w:r>
        <w:rPr>
          <w:rFonts w:hint="eastAsia" w:ascii="宋体" w:hAnsi="宋体"/>
          <w:color w:val="auto"/>
        </w:rPr>
        <w:t>合同条款及格式</w:t>
      </w:r>
      <w:bookmarkEnd w:id="760"/>
      <w:bookmarkEnd w:id="761"/>
      <w:bookmarkEnd w:id="762"/>
      <w:bookmarkEnd w:id="763"/>
      <w:bookmarkEnd w:id="764"/>
      <w:bookmarkEnd w:id="765"/>
      <w:bookmarkEnd w:id="766"/>
      <w:bookmarkEnd w:id="767"/>
    </w:p>
    <w:p>
      <w:pPr>
        <w:widowControl w:val="0"/>
        <w:numPr>
          <w:ilvl w:val="0"/>
          <w:numId w:val="0"/>
        </w:numPr>
        <w:jc w:val="both"/>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rPr>
          <w:rFonts w:hint="eastAsia" w:ascii="宋体" w:hAnsi="宋体"/>
          <w:b/>
          <w:color w:val="auto"/>
          <w:kern w:val="44"/>
          <w:sz w:val="24"/>
          <w:lang w:val="en-US" w:eastAsia="zh-CN" w:bidi="ar"/>
        </w:rPr>
      </w:pPr>
      <w:bookmarkStart w:id="768" w:name="_Toc351203632"/>
      <w:bookmarkStart w:id="769" w:name="_Toc351203480"/>
      <w:bookmarkStart w:id="770" w:name="_Toc296503025"/>
      <w:bookmarkStart w:id="771" w:name="_Toc296890982"/>
    </w:p>
    <w:p>
      <w:pPr>
        <w:rPr>
          <w:rFonts w:hint="eastAsia" w:ascii="黑体" w:hAnsi="黑体" w:eastAsia="黑体" w:cs="黑体"/>
          <w:b/>
          <w:color w:val="auto"/>
          <w:kern w:val="44"/>
          <w:sz w:val="24"/>
          <w:lang w:val="en-US" w:eastAsia="zh-CN" w:bidi="ar"/>
        </w:rPr>
      </w:pPr>
    </w:p>
    <w:p>
      <w:pPr>
        <w:jc w:val="center"/>
        <w:outlineLvl w:val="9"/>
        <w:rPr>
          <w:rFonts w:hint="eastAsia" w:ascii="黑体" w:hAnsi="黑体" w:eastAsia="黑体" w:cs="黑体"/>
          <w:b/>
          <w:color w:val="auto"/>
          <w:kern w:val="44"/>
          <w:sz w:val="36"/>
          <w:szCs w:val="36"/>
          <w:lang w:val="en-US" w:eastAsia="zh-CN" w:bidi="ar"/>
        </w:rPr>
      </w:pPr>
      <w:bookmarkStart w:id="772" w:name="_Toc5775"/>
      <w:bookmarkStart w:id="773" w:name="_Toc32578"/>
      <w:bookmarkStart w:id="774" w:name="_Toc9781"/>
      <w:bookmarkStart w:id="775" w:name="_Toc4228"/>
      <w:r>
        <w:rPr>
          <w:rFonts w:hint="eastAsia" w:ascii="黑体" w:hAnsi="黑体" w:eastAsia="黑体" w:cs="黑体"/>
          <w:b/>
          <w:color w:val="auto"/>
          <w:kern w:val="44"/>
          <w:sz w:val="36"/>
          <w:szCs w:val="36"/>
          <w:lang w:val="en-US" w:eastAsia="zh-CN" w:bidi="ar"/>
        </w:rPr>
        <w:t>重庆市建筑科学研究院有限公司</w:t>
      </w:r>
      <w:bookmarkEnd w:id="772"/>
      <w:bookmarkEnd w:id="773"/>
      <w:bookmarkEnd w:id="774"/>
      <w:bookmarkEnd w:id="775"/>
    </w:p>
    <w:p>
      <w:pPr>
        <w:pStyle w:val="2"/>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施工劳务分包合同</w:t>
      </w: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rPr>
          <w:rFonts w:hint="eastAsia" w:ascii="黑体" w:hAnsi="黑体" w:eastAsia="黑体" w:cs="黑体"/>
          <w:b/>
          <w:color w:val="auto"/>
          <w:kern w:val="44"/>
          <w:sz w:val="28"/>
          <w:szCs w:val="28"/>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发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rPr>
          <w:rFonts w:hint="eastAsia" w:ascii="黑体" w:hAnsi="黑体" w:eastAsia="黑体" w:cs="黑体"/>
          <w:b/>
          <w:color w:val="auto"/>
          <w:kern w:val="44"/>
          <w:sz w:val="28"/>
          <w:szCs w:val="28"/>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承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rPr>
          <w:rFonts w:hint="eastAsia" w:ascii="宋体" w:hAnsi="宋体"/>
          <w:b/>
          <w:color w:val="auto"/>
          <w:kern w:val="44"/>
          <w:sz w:val="24"/>
          <w:lang w:val="en-US" w:eastAsia="zh-CN" w:bidi="ar"/>
        </w:rPr>
      </w:pPr>
    </w:p>
    <w:tbl>
      <w:tblPr>
        <w:tblStyle w:val="19"/>
        <w:tblpPr w:leftFromText="180" w:rightFromText="180" w:vertAnchor="text" w:horzAnchor="page" w:tblpXSpec="center" w:tblpY="530"/>
        <w:tblW w:w="0" w:type="auto"/>
        <w:jc w:val="center"/>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496" w:hRule="atLeast"/>
          <w:jc w:val="center"/>
        </w:trPr>
        <w:tc>
          <w:tcPr>
            <w:tcW w:w="4507"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甲方</w:t>
            </w:r>
            <w:r>
              <w:rPr>
                <w:rFonts w:hint="eastAsia" w:ascii="Times New Roman" w:hAnsi="Times New Roman" w:eastAsia="仿宋_GB2312"/>
                <w:color w:val="auto"/>
                <w:sz w:val="30"/>
                <w:szCs w:val="30"/>
              </w:rPr>
              <w:t>：</w:t>
            </w:r>
          </w:p>
        </w:tc>
        <w:tc>
          <w:tcPr>
            <w:tcW w:w="4565"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乙方：</w:t>
            </w:r>
          </w:p>
        </w:tc>
      </w:tr>
      <w:tr>
        <w:tblPrEx>
          <w:tblCellMar>
            <w:top w:w="0" w:type="dxa"/>
            <w:left w:w="108" w:type="dxa"/>
            <w:bottom w:w="0" w:type="dxa"/>
            <w:right w:w="108" w:type="dxa"/>
          </w:tblCellMar>
        </w:tblPrEx>
        <w:trPr>
          <w:jc w:val="center"/>
        </w:trPr>
        <w:tc>
          <w:tcPr>
            <w:tcW w:w="4507"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联系人</w:t>
            </w:r>
            <w:r>
              <w:rPr>
                <w:rFonts w:hint="eastAsia" w:ascii="Times New Roman" w:hAnsi="Times New Roman" w:eastAsia="仿宋_GB2312"/>
                <w:color w:val="auto"/>
                <w:sz w:val="30"/>
                <w:szCs w:val="30"/>
              </w:rPr>
              <w:t>：</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联系邮</w:t>
            </w:r>
            <w:r>
              <w:rPr>
                <w:rFonts w:hint="eastAsia" w:ascii="Times New Roman" w:hAnsi="Times New Roman" w:eastAsia="仿宋_GB2312"/>
                <w:color w:val="auto"/>
                <w:sz w:val="30"/>
                <w:szCs w:val="30"/>
              </w:rPr>
              <w:t>箱：</w:t>
            </w:r>
            <w:r>
              <w:rPr>
                <w:rFonts w:ascii="Times New Roman" w:hAnsi="Times New Roman" w:eastAsia="仿宋_GB2312"/>
                <w:color w:val="auto"/>
                <w:kern w:val="0"/>
                <w:sz w:val="30"/>
                <w:szCs w:val="30"/>
                <w:u w:val="single"/>
              </w:rPr>
              <w:t xml:space="preserve">                    </w:t>
            </w:r>
          </w:p>
        </w:tc>
        <w:tc>
          <w:tcPr>
            <w:tcW w:w="4565"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人：</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信箱：</w:t>
            </w:r>
            <w:r>
              <w:rPr>
                <w:rFonts w:ascii="Times New Roman" w:hAnsi="Times New Roman" w:eastAsia="仿宋_GB2312"/>
                <w:color w:val="auto"/>
                <w:kern w:val="0"/>
                <w:sz w:val="30"/>
                <w:szCs w:val="30"/>
                <w:u w:val="single"/>
              </w:rPr>
              <w:t xml:space="preserve">                   </w:t>
            </w:r>
          </w:p>
        </w:tc>
      </w:tr>
    </w:tbl>
    <w:p>
      <w:pPr>
        <w:pStyle w:val="2"/>
        <w:rPr>
          <w:rFonts w:hint="default"/>
          <w:color w:val="auto"/>
          <w:lang w:val="en-US" w:eastAsia="zh-CN"/>
        </w:rPr>
      </w:pPr>
    </w:p>
    <w:p>
      <w:pPr>
        <w:rPr>
          <w:rFonts w:hint="default"/>
          <w:color w:val="auto"/>
          <w:lang w:val="en-US" w:eastAsia="zh-CN"/>
        </w:rPr>
      </w:pPr>
    </w:p>
    <w:p>
      <w:pPr>
        <w:jc w:val="center"/>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_GB2312"/>
          <w:color w:val="auto"/>
          <w:sz w:val="28"/>
          <w:szCs w:val="30"/>
        </w:rPr>
      </w:pPr>
      <w:r>
        <w:rPr>
          <w:rFonts w:hint="eastAsia" w:ascii="Times New Roman" w:hAnsi="Times New Roman" w:eastAsia="仿宋" w:cs="仿宋"/>
          <w:color w:val="auto"/>
          <w:sz w:val="28"/>
          <w:szCs w:val="28"/>
          <w:lang w:val="en-US" w:eastAsia="zh-CN"/>
        </w:rPr>
        <w:t>甲乙双方</w:t>
      </w:r>
      <w:r>
        <w:rPr>
          <w:rFonts w:ascii="Times New Roman" w:hAnsi="Times New Roman" w:eastAsia="仿宋_GB2312"/>
          <w:color w:val="auto"/>
          <w:sz w:val="28"/>
          <w:szCs w:val="30"/>
        </w:rPr>
        <w:t>根据《中华人民共和国</w:t>
      </w:r>
      <w:r>
        <w:rPr>
          <w:rFonts w:hint="eastAsia" w:ascii="Times New Roman" w:hAnsi="Times New Roman" w:eastAsia="仿宋_GB2312"/>
          <w:color w:val="auto"/>
          <w:sz w:val="28"/>
          <w:szCs w:val="30"/>
          <w:lang w:val="en-US" w:eastAsia="zh-CN"/>
        </w:rPr>
        <w:t>民法典</w:t>
      </w:r>
      <w:r>
        <w:rPr>
          <w:rFonts w:ascii="Times New Roman" w:hAnsi="Times New Roman" w:eastAsia="仿宋_GB2312"/>
          <w:color w:val="auto"/>
          <w:sz w:val="28"/>
          <w:szCs w:val="30"/>
        </w:rPr>
        <w:t>》、《中华人民共和国建筑法》及有关法律规定，遵循平等、自愿、公平和诚实信用的原则，就</w:t>
      </w:r>
      <w:r>
        <w:rPr>
          <w:rFonts w:ascii="Times New Roman" w:hAnsi="Times New Roman" w:eastAsia="仿宋_GB2312"/>
          <w:color w:val="auto"/>
          <w:sz w:val="28"/>
          <w:szCs w:val="30"/>
          <w:u w:val="single"/>
        </w:rPr>
        <w:t xml:space="preserve">                       </w:t>
      </w:r>
      <w:r>
        <w:rPr>
          <w:rFonts w:ascii="Times New Roman" w:hAnsi="Times New Roman" w:eastAsia="仿宋_GB2312"/>
          <w:color w:val="auto"/>
          <w:sz w:val="28"/>
          <w:szCs w:val="30"/>
        </w:rPr>
        <w:t>工程施工</w:t>
      </w:r>
      <w:r>
        <w:rPr>
          <w:rFonts w:hint="eastAsia" w:ascii="Times New Roman" w:hAnsi="Times New Roman" w:eastAsia="仿宋_GB2312"/>
          <w:color w:val="auto"/>
          <w:sz w:val="28"/>
          <w:szCs w:val="30"/>
          <w:lang w:val="en-US" w:eastAsia="zh-CN"/>
        </w:rPr>
        <w:t>劳务分包</w:t>
      </w:r>
      <w:r>
        <w:rPr>
          <w:rFonts w:ascii="Times New Roman" w:hAnsi="Times New Roman" w:eastAsia="仿宋_GB2312"/>
          <w:color w:val="auto"/>
          <w:sz w:val="28"/>
          <w:szCs w:val="30"/>
        </w:rPr>
        <w:t>有关</w:t>
      </w:r>
      <w:r>
        <w:rPr>
          <w:rFonts w:hint="eastAsia" w:ascii="Times New Roman" w:hAnsi="Times New Roman" w:eastAsia="仿宋_GB2312"/>
          <w:color w:val="auto"/>
          <w:sz w:val="28"/>
          <w:szCs w:val="30"/>
          <w:lang w:val="en-US" w:eastAsia="zh-CN"/>
        </w:rPr>
        <w:t>事宜</w:t>
      </w:r>
      <w:r>
        <w:rPr>
          <w:rFonts w:ascii="Times New Roman" w:hAnsi="Times New Roman" w:eastAsia="仿宋_GB2312"/>
          <w:color w:val="auto"/>
          <w:sz w:val="28"/>
          <w:szCs w:val="30"/>
        </w:rPr>
        <w:t>协商一致</w:t>
      </w:r>
      <w:r>
        <w:rPr>
          <w:rFonts w:hint="eastAsia" w:ascii="Times New Roman" w:hAnsi="Times New Roman" w:eastAsia="仿宋_GB2312"/>
          <w:color w:val="auto"/>
          <w:sz w:val="28"/>
          <w:szCs w:val="30"/>
        </w:rPr>
        <w:t>，</w:t>
      </w:r>
      <w:r>
        <w:rPr>
          <w:rFonts w:ascii="Times New Roman" w:hAnsi="Times New Roman" w:eastAsia="仿宋_GB2312"/>
          <w:color w:val="auto"/>
          <w:sz w:val="28"/>
          <w:szCs w:val="30"/>
        </w:rPr>
        <w:t>共同达成如下协议：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ascii="Times New Roman" w:hAnsi="Times New Roman" w:eastAsia="黑体"/>
          <w:bCs w:val="0"/>
          <w:color w:val="auto"/>
          <w:sz w:val="28"/>
          <w:szCs w:val="32"/>
        </w:rPr>
      </w:pPr>
      <w:bookmarkStart w:id="776" w:name="_Toc7966"/>
      <w:bookmarkStart w:id="777" w:name="_Toc21772"/>
      <w:bookmarkStart w:id="778" w:name="_Toc10892"/>
      <w:bookmarkStart w:id="779" w:name="_Toc19028"/>
      <w:bookmarkStart w:id="780" w:name="_Toc12005"/>
      <w:r>
        <w:rPr>
          <w:rFonts w:hint="eastAsia" w:ascii="Times New Roman" w:hAnsi="Times New Roman" w:eastAsia="黑体"/>
          <w:b w:val="0"/>
          <w:color w:val="auto"/>
          <w:sz w:val="28"/>
          <w:szCs w:val="32"/>
          <w:lang w:val="en-US" w:eastAsia="zh-CN"/>
        </w:rPr>
        <w:t>第一条</w:t>
      </w:r>
      <w:r>
        <w:rPr>
          <w:rFonts w:ascii="Times New Roman" w:hAnsi="Times New Roman" w:eastAsia="黑体"/>
          <w:b w:val="0"/>
          <w:color w:val="auto"/>
          <w:sz w:val="28"/>
          <w:szCs w:val="32"/>
        </w:rPr>
        <w:t xml:space="preserve"> </w:t>
      </w:r>
      <w:bookmarkStart w:id="781" w:name="_Toc351203481"/>
      <w:r>
        <w:rPr>
          <w:rFonts w:hint="eastAsia" w:ascii="Times New Roman" w:hAnsi="Times New Roman" w:eastAsia="黑体"/>
          <w:b w:val="0"/>
          <w:color w:val="auto"/>
          <w:sz w:val="28"/>
          <w:szCs w:val="32"/>
          <w:lang w:val="en-US" w:eastAsia="zh-CN"/>
        </w:rPr>
        <w:t>项目</w:t>
      </w:r>
      <w:r>
        <w:rPr>
          <w:rFonts w:ascii="Times New Roman" w:hAnsi="Times New Roman" w:eastAsia="黑体"/>
          <w:b w:val="0"/>
          <w:color w:val="auto"/>
          <w:sz w:val="28"/>
          <w:szCs w:val="32"/>
        </w:rPr>
        <w:t>概况</w:t>
      </w:r>
      <w:bookmarkEnd w:id="776"/>
      <w:bookmarkEnd w:id="777"/>
      <w:bookmarkEnd w:id="778"/>
      <w:bookmarkEnd w:id="779"/>
      <w:bookmarkEnd w:id="780"/>
      <w:bookmarkEnd w:id="78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1.1 甲</w:t>
      </w:r>
      <w:r>
        <w:rPr>
          <w:rFonts w:hint="eastAsia" w:eastAsia="仿宋" w:cs="宋体"/>
          <w:color w:val="auto"/>
          <w:sz w:val="28"/>
          <w:szCs w:val="24"/>
          <w:lang w:val="en-US" w:eastAsia="zh-CN"/>
        </w:rPr>
        <w:t>乙双方</w:t>
      </w:r>
      <w:r>
        <w:rPr>
          <w:rFonts w:hint="eastAsia" w:ascii="Times New Roman" w:hAnsi="Times New Roman" w:eastAsia="仿宋" w:cs="宋体"/>
          <w:color w:val="auto"/>
          <w:sz w:val="28"/>
          <w:szCs w:val="24"/>
          <w:lang w:val="en-US" w:eastAsia="zh-CN"/>
        </w:rPr>
        <w:t xml:space="preserve">就 </w:t>
      </w:r>
      <w:r>
        <w:rPr>
          <w:rFonts w:hint="eastAsia" w:eastAsia="仿宋"/>
          <w:color w:val="auto"/>
          <w:sz w:val="28"/>
          <w:szCs w:val="30"/>
          <w:u w:val="single"/>
          <w:lang w:val="en-US" w:eastAsia="zh-CN"/>
        </w:rPr>
        <w:t>重庆市建筑科学研究院江南分中心实验室搬迁项目“装饰</w:t>
      </w:r>
      <w:r>
        <w:rPr>
          <w:rFonts w:hint="eastAsia" w:ascii="Times New Roman" w:hAnsi="Times New Roman" w:eastAsia="仿宋" w:cs="宋体"/>
          <w:color w:val="auto"/>
          <w:sz w:val="28"/>
          <w:szCs w:val="24"/>
          <w:u w:val="single"/>
          <w:lang w:val="en-US" w:eastAsia="zh-CN"/>
        </w:rPr>
        <w:t>工程</w:t>
      </w:r>
      <w:r>
        <w:rPr>
          <w:rFonts w:hint="eastAsia" w:eastAsia="仿宋" w:cs="宋体"/>
          <w:color w:val="auto"/>
          <w:sz w:val="28"/>
          <w:szCs w:val="24"/>
          <w:u w:val="single"/>
          <w:lang w:val="en-US" w:eastAsia="zh-CN"/>
        </w:rPr>
        <w:t>及水电智能化工程</w:t>
      </w:r>
      <w:r>
        <w:rPr>
          <w:rFonts w:hint="eastAsia" w:eastAsia="仿宋"/>
          <w:color w:val="auto"/>
          <w:sz w:val="28"/>
          <w:szCs w:val="30"/>
          <w:u w:val="single"/>
          <w:lang w:val="en-US" w:eastAsia="zh-CN"/>
        </w:rPr>
        <w:t>”</w:t>
      </w:r>
      <w:r>
        <w:rPr>
          <w:rFonts w:hint="eastAsia" w:ascii="Times New Roman" w:hAnsi="Times New Roman" w:eastAsia="仿宋" w:cs="宋体"/>
          <w:color w:val="auto"/>
          <w:sz w:val="28"/>
          <w:szCs w:val="24"/>
          <w:lang w:val="en-US" w:eastAsia="zh-CN"/>
        </w:rPr>
        <w:t>签订</w:t>
      </w:r>
      <w:r>
        <w:rPr>
          <w:rFonts w:hint="eastAsia" w:eastAsia="仿宋" w:cs="宋体"/>
          <w:color w:val="auto"/>
          <w:sz w:val="28"/>
          <w:szCs w:val="24"/>
          <w:lang w:val="en-US" w:eastAsia="zh-CN"/>
        </w:rPr>
        <w:t>了</w:t>
      </w:r>
      <w:r>
        <w:rPr>
          <w:rFonts w:hint="eastAsia" w:ascii="Times New Roman" w:hAnsi="Times New Roman" w:eastAsia="仿宋" w:cs="宋体"/>
          <w:color w:val="auto"/>
          <w:sz w:val="28"/>
          <w:szCs w:val="24"/>
          <w:lang w:val="en-US" w:eastAsia="zh-CN"/>
        </w:rPr>
        <w:t>《</w:t>
      </w:r>
      <w:r>
        <w:rPr>
          <w:rFonts w:hint="eastAsia" w:eastAsia="仿宋"/>
          <w:color w:val="auto"/>
          <w:sz w:val="28"/>
          <w:szCs w:val="30"/>
          <w:u w:val="single"/>
          <w:lang w:val="en-US" w:eastAsia="zh-CN"/>
        </w:rPr>
        <w:t>重庆市建筑科学研究院有限公司“江南分中心实验室搬迁项目（实验区）劳务分包（装饰工程及水电智能化工程）”</w:t>
      </w:r>
      <w:r>
        <w:rPr>
          <w:rFonts w:hint="eastAsia" w:ascii="Times New Roman" w:hAnsi="Times New Roman" w:eastAsia="仿宋" w:cs="宋体"/>
          <w:color w:val="auto"/>
          <w:sz w:val="28"/>
          <w:szCs w:val="24"/>
          <w:lang w:val="en-US" w:eastAsia="zh-CN"/>
        </w:rPr>
        <w:t>施工</w:t>
      </w:r>
      <w:r>
        <w:rPr>
          <w:rFonts w:hint="eastAsia" w:eastAsia="仿宋"/>
          <w:color w:val="auto"/>
          <w:sz w:val="28"/>
          <w:szCs w:val="30"/>
          <w:u w:val="none"/>
          <w:lang w:val="en-US" w:eastAsia="zh-CN"/>
        </w:rPr>
        <w:t>劳务分包</w:t>
      </w:r>
      <w:r>
        <w:rPr>
          <w:rFonts w:hint="eastAsia" w:ascii="Times New Roman" w:hAnsi="Times New Roman" w:eastAsia="仿宋" w:cs="宋体"/>
          <w:color w:val="auto"/>
          <w:sz w:val="28"/>
          <w:szCs w:val="2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1.2 </w:t>
      </w:r>
      <w:r>
        <w:rPr>
          <w:rFonts w:hint="eastAsia" w:ascii="Times New Roman" w:hAnsi="Times New Roman" w:eastAsia="仿宋" w:cs="宋体"/>
          <w:color w:val="auto"/>
          <w:sz w:val="28"/>
          <w:szCs w:val="24"/>
        </w:rPr>
        <w:t>工程名称：</w:t>
      </w:r>
      <w:r>
        <w:rPr>
          <w:rFonts w:hint="eastAsia" w:ascii="Times New Roman" w:hAnsi="Times New Roman" w:eastAsia="仿宋"/>
          <w:color w:val="auto"/>
          <w:sz w:val="28"/>
          <w:szCs w:val="30"/>
          <w:u w:val="single"/>
          <w:lang w:val="en-US" w:eastAsia="zh-CN"/>
        </w:rPr>
        <w:t>重庆市建筑科学研究院有限公司“江南分中心实验室搬迁项目（实验区）劳务分包（装饰工程及水电智能化工程）</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1.3 </w:t>
      </w:r>
      <w:r>
        <w:rPr>
          <w:rFonts w:hint="eastAsia" w:ascii="Times New Roman" w:hAnsi="Times New Roman" w:eastAsia="仿宋" w:cs="宋体"/>
          <w:color w:val="auto"/>
          <w:sz w:val="28"/>
          <w:szCs w:val="24"/>
        </w:rPr>
        <w:t>工程地点：</w:t>
      </w:r>
      <w:r>
        <w:rPr>
          <w:rFonts w:hint="eastAsia" w:ascii="Times New Roman" w:hAnsi="Times New Roman" w:eastAsia="仿宋"/>
          <w:color w:val="auto"/>
          <w:sz w:val="28"/>
          <w:szCs w:val="30"/>
          <w:u w:val="single"/>
        </w:rPr>
        <w:t xml:space="preserve">     </w:t>
      </w:r>
      <w:r>
        <w:rPr>
          <w:rFonts w:hint="eastAsia" w:eastAsia="仿宋"/>
          <w:color w:val="auto"/>
          <w:sz w:val="28"/>
          <w:szCs w:val="30"/>
          <w:u w:val="single"/>
          <w:lang w:val="en-US" w:eastAsia="zh-CN"/>
        </w:rPr>
        <w:t>重庆市南岸区梨花大道857号</w:t>
      </w:r>
      <w:r>
        <w:rPr>
          <w:rFonts w:hint="eastAsia" w:ascii="Times New Roman" w:hAnsi="Times New Roman" w:eastAsia="仿宋"/>
          <w:color w:val="auto"/>
          <w:sz w:val="28"/>
          <w:szCs w:val="30"/>
          <w:u w:val="single"/>
        </w:rPr>
        <w:t xml:space="preserve">  </w:t>
      </w:r>
      <w:r>
        <w:rPr>
          <w:rFonts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none"/>
          <w:lang w:val="en-US" w:eastAsia="zh-CN"/>
        </w:rPr>
        <w:t>。</w:t>
      </w:r>
    </w:p>
    <w:p>
      <w:pPr>
        <w:pStyle w:val="18"/>
        <w:pageBreakBefore w:val="0"/>
        <w:widowControl w:val="0"/>
        <w:kinsoku/>
        <w:wordWrap w:val="0"/>
        <w:overflowPunct/>
        <w:topLinePunct w:val="0"/>
        <w:autoSpaceDE/>
        <w:autoSpaceDN/>
        <w:bidi w:val="0"/>
        <w:adjustRightInd/>
        <w:spacing w:beforeLines="0" w:afterLines="0" w:line="360" w:lineRule="auto"/>
        <w:ind w:left="2239" w:leftChars="266" w:hanging="1680" w:hangingChars="600"/>
        <w:textAlignment w:val="auto"/>
        <w:rPr>
          <w:rFonts w:hint="eastAsia" w:eastAsia="仿宋"/>
          <w:color w:val="auto"/>
          <w:sz w:val="28"/>
          <w:szCs w:val="30"/>
          <w:u w:val="single"/>
          <w:lang w:val="en-US" w:eastAsia="zh-CN"/>
        </w:rPr>
      </w:pPr>
      <w:r>
        <w:rPr>
          <w:rFonts w:hint="eastAsia" w:ascii="Times New Roman" w:hAnsi="Times New Roman" w:eastAsia="仿宋" w:cs="宋体"/>
          <w:color w:val="auto"/>
          <w:sz w:val="28"/>
          <w:szCs w:val="24"/>
          <w:lang w:val="en-US" w:eastAsia="zh-CN"/>
        </w:rPr>
        <w:t xml:space="preserve">1.4 </w:t>
      </w:r>
      <w:r>
        <w:rPr>
          <w:rFonts w:hint="eastAsia" w:eastAsia="仿宋" w:cs="宋体"/>
          <w:color w:val="auto"/>
          <w:sz w:val="28"/>
          <w:szCs w:val="24"/>
          <w:lang w:val="en-US" w:eastAsia="zh-CN"/>
        </w:rPr>
        <w:t>承包</w:t>
      </w:r>
      <w:r>
        <w:rPr>
          <w:rFonts w:hint="eastAsia" w:ascii="Times New Roman" w:hAnsi="Times New Roman" w:eastAsia="仿宋" w:cs="宋体"/>
          <w:color w:val="auto"/>
          <w:sz w:val="28"/>
          <w:szCs w:val="24"/>
        </w:rPr>
        <w:t>范围：</w:t>
      </w:r>
      <w:r>
        <w:rPr>
          <w:rFonts w:hint="eastAsia" w:eastAsia="仿宋"/>
          <w:color w:val="auto"/>
          <w:sz w:val="28"/>
          <w:szCs w:val="30"/>
          <w:u w:val="single"/>
          <w:lang w:val="en-US" w:eastAsia="zh-CN"/>
        </w:rPr>
        <w:t>包括但不限于装饰、强弱电、给排水、智能化、钢结构工程等工作内容。具体以甲方发出的施工图及工程量清单为准。以及为完成项目实体所涉及的技术措施（支架搭设、临边防护搭拆、临设搭建等）、组织措施、安全文明施工、试验检验、资料编制及整理、甲供材料下车及保管、场地清理、施工过程当中的协调工作等内容。</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82" w:name="_Toc25333"/>
      <w:bookmarkStart w:id="783" w:name="_Toc6321"/>
      <w:bookmarkStart w:id="784" w:name="_Toc15558"/>
      <w:bookmarkStart w:id="785" w:name="_Toc3769"/>
      <w:bookmarkStart w:id="786" w:name="_Toc26940"/>
      <w:r>
        <w:rPr>
          <w:rFonts w:hint="eastAsia" w:ascii="Times New Roman" w:hAnsi="Times New Roman" w:eastAsia="黑体"/>
          <w:b w:val="0"/>
          <w:color w:val="auto"/>
          <w:sz w:val="28"/>
          <w:szCs w:val="32"/>
          <w:lang w:val="en-US" w:eastAsia="zh-CN"/>
        </w:rPr>
        <w:t>第二条 合同工期</w:t>
      </w:r>
      <w:bookmarkEnd w:id="782"/>
      <w:bookmarkEnd w:id="783"/>
      <w:bookmarkEnd w:id="784"/>
      <w:bookmarkEnd w:id="785"/>
      <w:bookmarkEnd w:id="786"/>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开工日</w:t>
      </w:r>
      <w:r>
        <w:rPr>
          <w:rFonts w:ascii="Times New Roman" w:hAnsi="Times New Roman" w:eastAsia="仿宋_GB2312"/>
          <w:color w:val="auto"/>
          <w:sz w:val="28"/>
          <w:szCs w:val="30"/>
        </w:rPr>
        <w:t>：</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完工</w:t>
      </w:r>
      <w:r>
        <w:rPr>
          <w:rFonts w:ascii="Times New Roman" w:hAnsi="Times New Roman" w:eastAsia="仿宋_GB2312"/>
          <w:color w:val="auto"/>
          <w:sz w:val="28"/>
          <w:szCs w:val="30"/>
        </w:rPr>
        <w:t>日：</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eastAsia="zh-CN"/>
        </w:rPr>
      </w:pPr>
      <w:r>
        <w:rPr>
          <w:rFonts w:hint="eastAsia" w:eastAsia="仿宋_GB2312"/>
          <w:color w:val="auto"/>
          <w:sz w:val="28"/>
          <w:szCs w:val="30"/>
          <w:lang w:eastAsia="zh-CN"/>
        </w:rPr>
        <w:t>（</w:t>
      </w:r>
      <w:r>
        <w:rPr>
          <w:rFonts w:hint="eastAsia" w:eastAsia="仿宋_GB2312"/>
          <w:color w:val="auto"/>
          <w:sz w:val="28"/>
          <w:szCs w:val="30"/>
          <w:lang w:val="en-US" w:eastAsia="zh-CN"/>
        </w:rPr>
        <w:t>备注：项目实际开工时间以甲方发出的开工通知为准，开工日期延后，对应完工日期顺延</w:t>
      </w:r>
      <w:r>
        <w:rPr>
          <w:rFonts w:hint="eastAsia" w:eastAsia="仿宋_GB2312"/>
          <w:color w:val="auto"/>
          <w:sz w:val="28"/>
          <w:szCs w:val="30"/>
          <w:lang w:eastAsia="zh-CN"/>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工期总日历天数：</w:t>
      </w:r>
      <w:r>
        <w:rPr>
          <w:rFonts w:hint="eastAsia" w:ascii="Times New Roman" w:hAnsi="Times New Roman" w:eastAsia="仿宋"/>
          <w:color w:val="auto"/>
          <w:sz w:val="28"/>
          <w:szCs w:val="30"/>
          <w:u w:val="single"/>
        </w:rPr>
        <w:t xml:space="preserve">   </w:t>
      </w:r>
      <w:r>
        <w:rPr>
          <w:rFonts w:hint="eastAsia" w:eastAsia="仿宋"/>
          <w:color w:val="auto"/>
          <w:sz w:val="28"/>
          <w:szCs w:val="30"/>
          <w:u w:val="single"/>
          <w:lang w:val="en-US" w:eastAsia="zh-CN"/>
        </w:rPr>
        <w:t>60</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天</w:t>
      </w:r>
      <w:r>
        <w:rPr>
          <w:rFonts w:hint="eastAsia" w:ascii="Times New Roman" w:hAnsi="Times New Roman" w:eastAsia="仿宋_GB2312"/>
          <w:color w:val="auto"/>
          <w:sz w:val="28"/>
          <w:szCs w:val="30"/>
          <w:lang w:eastAsia="zh-CN"/>
        </w:rPr>
        <w:t>（</w:t>
      </w:r>
      <w:r>
        <w:rPr>
          <w:rFonts w:hint="eastAsia" w:ascii="Times New Roman" w:hAnsi="Times New Roman" w:eastAsia="仿宋_GB2312"/>
          <w:color w:val="auto"/>
          <w:sz w:val="28"/>
          <w:szCs w:val="30"/>
          <w:lang w:val="en-US" w:eastAsia="zh-CN"/>
        </w:rPr>
        <w:t>包含国家法定节假日在内</w:t>
      </w:r>
      <w:r>
        <w:rPr>
          <w:rFonts w:hint="eastAsia" w:ascii="Times New Roman" w:hAnsi="Times New Roman" w:eastAsia="仿宋_GB2312"/>
          <w:color w:val="auto"/>
          <w:sz w:val="28"/>
          <w:szCs w:val="30"/>
          <w:lang w:eastAsia="zh-CN"/>
        </w:rPr>
        <w:t>）</w:t>
      </w:r>
      <w:r>
        <w:rPr>
          <w:rFonts w:ascii="Times New Roman" w:hAnsi="Times New Roman" w:eastAsia="仿宋_GB2312"/>
          <w:color w:val="auto"/>
          <w:sz w:val="28"/>
          <w:szCs w:val="30"/>
        </w:rPr>
        <w:t>。工期总日历天数与根据前述计划日期计算的工期天数不一致的，以工期总日历天数为准。</w:t>
      </w:r>
    </w:p>
    <w:p>
      <w:pPr>
        <w:pStyle w:val="12"/>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lang w:val="en-US" w:eastAsia="zh-CN"/>
        </w:rPr>
      </w:pPr>
      <w:r>
        <w:rPr>
          <w:rFonts w:hint="eastAsia" w:ascii="Times New Roman" w:hAnsi="Times New Roman" w:eastAsia="仿宋_GB2312"/>
          <w:color w:val="auto"/>
          <w:sz w:val="28"/>
          <w:szCs w:val="30"/>
          <w:lang w:val="en-US" w:eastAsia="zh-CN"/>
        </w:rPr>
        <w:t>保修期</w:t>
      </w:r>
      <w:r>
        <w:rPr>
          <w:rFonts w:hint="eastAsia" w:eastAsia="仿宋_GB2312"/>
          <w:color w:val="auto"/>
          <w:sz w:val="28"/>
          <w:szCs w:val="30"/>
          <w:lang w:val="en-US" w:eastAsia="zh-CN"/>
        </w:rPr>
        <w:t>自缺陷责任期起算之日</w:t>
      </w:r>
      <w:r>
        <w:rPr>
          <w:rFonts w:hint="eastAsia" w:ascii="Times New Roman" w:hAnsi="Times New Roman" w:eastAsia="仿宋_GB2312"/>
          <w:color w:val="auto"/>
          <w:sz w:val="28"/>
          <w:szCs w:val="30"/>
          <w:lang w:val="en-US" w:eastAsia="zh-CN"/>
        </w:rPr>
        <w:t>起至</w:t>
      </w:r>
      <w:r>
        <w:rPr>
          <w:rFonts w:hint="eastAsia" w:eastAsia="仿宋_GB2312"/>
          <w:color w:val="auto"/>
          <w:sz w:val="28"/>
          <w:szCs w:val="30"/>
          <w:lang w:val="en-US" w:eastAsia="zh-CN"/>
        </w:rPr>
        <w:t>乙</w:t>
      </w:r>
      <w:r>
        <w:rPr>
          <w:rFonts w:hint="eastAsia" w:ascii="Times New Roman" w:hAnsi="Times New Roman" w:eastAsia="仿宋_GB2312"/>
          <w:color w:val="auto"/>
          <w:sz w:val="28"/>
          <w:szCs w:val="30"/>
          <w:lang w:val="en-US" w:eastAsia="zh-CN"/>
        </w:rPr>
        <w:t>方向</w:t>
      </w:r>
      <w:r>
        <w:rPr>
          <w:rFonts w:hint="eastAsia" w:eastAsia="仿宋_GB2312"/>
          <w:color w:val="auto"/>
          <w:sz w:val="28"/>
          <w:szCs w:val="30"/>
          <w:lang w:val="en-US" w:eastAsia="zh-CN"/>
        </w:rPr>
        <w:t>甲方</w:t>
      </w:r>
      <w:r>
        <w:rPr>
          <w:rFonts w:hint="eastAsia" w:ascii="Times New Roman" w:hAnsi="Times New Roman" w:eastAsia="仿宋_GB2312"/>
          <w:color w:val="auto"/>
          <w:sz w:val="28"/>
          <w:szCs w:val="30"/>
          <w:lang w:val="en-US" w:eastAsia="zh-CN"/>
        </w:rPr>
        <w:t>承诺的保修期截止日止。</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87" w:name="_Toc11405"/>
      <w:bookmarkStart w:id="788" w:name="_Toc29130"/>
      <w:bookmarkStart w:id="789" w:name="_Toc9102"/>
      <w:bookmarkStart w:id="790" w:name="_Toc26160"/>
      <w:bookmarkStart w:id="791" w:name="_Toc5473"/>
      <w:r>
        <w:rPr>
          <w:rFonts w:hint="eastAsia" w:ascii="Times New Roman" w:hAnsi="Times New Roman" w:eastAsia="黑体"/>
          <w:b w:val="0"/>
          <w:color w:val="auto"/>
          <w:sz w:val="28"/>
          <w:szCs w:val="32"/>
          <w:lang w:val="en-US" w:eastAsia="zh-CN"/>
        </w:rPr>
        <w:t>第三条 质量标准</w:t>
      </w:r>
      <w:bookmarkEnd w:id="787"/>
      <w:bookmarkEnd w:id="788"/>
      <w:bookmarkEnd w:id="789"/>
      <w:bookmarkEnd w:id="790"/>
      <w:bookmarkEnd w:id="791"/>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val="en-US" w:eastAsia="zh-CN"/>
        </w:rPr>
      </w:pPr>
      <w:r>
        <w:rPr>
          <w:rFonts w:hint="eastAsia" w:ascii="Times New Roman" w:hAnsi="Times New Roman" w:eastAsia="仿宋_GB2312"/>
          <w:color w:val="auto"/>
          <w:sz w:val="28"/>
          <w:szCs w:val="30"/>
          <w:lang w:val="en-US" w:eastAsia="zh-CN"/>
        </w:rPr>
        <w:t>必须符合《</w:t>
      </w:r>
      <w:r>
        <w:rPr>
          <w:rFonts w:hint="eastAsia" w:eastAsia="仿宋"/>
          <w:color w:val="auto"/>
          <w:sz w:val="28"/>
          <w:szCs w:val="30"/>
          <w:u w:val="single"/>
          <w:lang w:val="en-US" w:eastAsia="zh-CN"/>
        </w:rPr>
        <w:t>重庆市建筑科学研究院江南分中心实验室搬迁项目“装饰</w:t>
      </w:r>
      <w:r>
        <w:rPr>
          <w:rFonts w:hint="eastAsia" w:ascii="Times New Roman" w:hAnsi="Times New Roman" w:eastAsia="仿宋" w:cs="宋体"/>
          <w:color w:val="auto"/>
          <w:sz w:val="28"/>
          <w:szCs w:val="24"/>
          <w:u w:val="single"/>
          <w:lang w:val="en-US" w:eastAsia="zh-CN"/>
        </w:rPr>
        <w:t>工程</w:t>
      </w:r>
      <w:r>
        <w:rPr>
          <w:rFonts w:hint="eastAsia" w:eastAsia="仿宋" w:cs="宋体"/>
          <w:color w:val="auto"/>
          <w:sz w:val="28"/>
          <w:szCs w:val="24"/>
          <w:u w:val="single"/>
          <w:lang w:val="en-US" w:eastAsia="zh-CN"/>
        </w:rPr>
        <w:t>及水电智能化工程</w:t>
      </w:r>
      <w:r>
        <w:rPr>
          <w:rFonts w:hint="eastAsia" w:eastAsia="仿宋"/>
          <w:color w:val="auto"/>
          <w:sz w:val="28"/>
          <w:szCs w:val="30"/>
          <w:u w:val="single"/>
          <w:lang w:val="en-US" w:eastAsia="zh-CN"/>
        </w:rPr>
        <w:t>”</w:t>
      </w:r>
      <w:r>
        <w:rPr>
          <w:rFonts w:hint="eastAsia" w:ascii="Times New Roman" w:hAnsi="Times New Roman" w:eastAsia="仿宋_GB2312"/>
          <w:color w:val="auto"/>
          <w:sz w:val="28"/>
          <w:szCs w:val="30"/>
          <w:lang w:val="en-US" w:eastAsia="zh-CN"/>
        </w:rPr>
        <w:t>施工</w:t>
      </w:r>
      <w:r>
        <w:rPr>
          <w:rFonts w:hint="eastAsia" w:eastAsia="仿宋"/>
          <w:color w:val="auto"/>
          <w:sz w:val="28"/>
          <w:szCs w:val="30"/>
          <w:u w:val="none"/>
          <w:lang w:val="en-US" w:eastAsia="zh-CN"/>
        </w:rPr>
        <w:t>劳务分包</w:t>
      </w:r>
      <w:r>
        <w:rPr>
          <w:rFonts w:hint="eastAsia" w:ascii="Times New Roman" w:hAnsi="Times New Roman" w:eastAsia="仿宋_GB2312"/>
          <w:color w:val="auto"/>
          <w:sz w:val="28"/>
          <w:szCs w:val="30"/>
          <w:lang w:val="en-US" w:eastAsia="zh-CN"/>
        </w:rPr>
        <w:t>合同》</w:t>
      </w:r>
      <w:r>
        <w:rPr>
          <w:rFonts w:hint="eastAsia" w:ascii="Times New Roman" w:hAnsi="Times New Roman" w:eastAsia="仿宋_GB2312"/>
          <w:color w:val="auto"/>
          <w:sz w:val="28"/>
          <w:szCs w:val="30"/>
          <w:lang w:eastAsia="zh-CN"/>
        </w:rPr>
        <w:t>有关质量的约定、国家现行的《建筑安装工程施工及验收规范》《建筑安装工程质量评定标准》</w:t>
      </w:r>
      <w:r>
        <w:rPr>
          <w:rFonts w:hint="eastAsia" w:ascii="Times New Roman" w:hAnsi="Times New Roman" w:eastAsia="仿宋_GB2312"/>
          <w:color w:val="auto"/>
          <w:sz w:val="28"/>
          <w:szCs w:val="30"/>
          <w:lang w:val="en-US" w:eastAsia="zh-CN"/>
        </w:rPr>
        <w:t>等的有关规定以及本合同的约定。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792" w:name="_Toc3811"/>
      <w:bookmarkStart w:id="793" w:name="_Toc779"/>
      <w:bookmarkStart w:id="794" w:name="_Toc31152"/>
      <w:bookmarkStart w:id="795" w:name="_Toc17321"/>
      <w:bookmarkStart w:id="796" w:name="_Toc26269"/>
      <w:r>
        <w:rPr>
          <w:rFonts w:hint="eastAsia" w:ascii="Times New Roman" w:hAnsi="Times New Roman" w:eastAsia="黑体"/>
          <w:b w:val="0"/>
          <w:color w:val="auto"/>
          <w:sz w:val="28"/>
          <w:szCs w:val="32"/>
          <w:lang w:val="en-US" w:eastAsia="zh-CN"/>
        </w:rPr>
        <w:t>第四条 签约合同价款及合同价格形式</w:t>
      </w:r>
      <w:bookmarkEnd w:id="792"/>
      <w:bookmarkEnd w:id="793"/>
      <w:bookmarkEnd w:id="794"/>
      <w:bookmarkEnd w:id="795"/>
      <w:bookmarkEnd w:id="79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sz w:val="28"/>
          <w:szCs w:val="30"/>
          <w:u w:val="none"/>
          <w:lang w:val="en-US" w:eastAsia="zh-CN"/>
        </w:rPr>
      </w:pPr>
      <w:bookmarkStart w:id="797" w:name="_Toc32000"/>
      <w:r>
        <w:rPr>
          <w:rFonts w:hint="eastAsia" w:ascii="Times New Roman" w:hAnsi="Times New Roman" w:eastAsia="仿宋_GB2312"/>
          <w:color w:val="auto"/>
          <w:sz w:val="28"/>
          <w:szCs w:val="30"/>
          <w:u w:val="none"/>
          <w:lang w:val="en-US" w:eastAsia="zh-CN"/>
        </w:rPr>
        <w:t>4</w:t>
      </w:r>
      <w:r>
        <w:rPr>
          <w:rFonts w:hint="eastAsia" w:eastAsia="仿宋_GB2312"/>
          <w:color w:val="auto"/>
          <w:sz w:val="28"/>
          <w:szCs w:val="30"/>
          <w:u w:val="none"/>
          <w:lang w:val="en-US" w:eastAsia="zh-CN"/>
        </w:rPr>
        <w:t>.1</w:t>
      </w:r>
      <w:r>
        <w:rPr>
          <w:rFonts w:hint="eastAsia" w:ascii="Times New Roman" w:hAnsi="Times New Roman" w:eastAsia="仿宋_GB2312"/>
          <w:color w:val="auto"/>
          <w:sz w:val="28"/>
          <w:szCs w:val="30"/>
          <w:u w:val="none"/>
          <w:lang w:val="en-US" w:eastAsia="zh-CN"/>
        </w:rPr>
        <w:t xml:space="preserve"> </w:t>
      </w:r>
      <w:r>
        <w:rPr>
          <w:rFonts w:hint="eastAsia" w:eastAsia="仿宋_GB2312"/>
          <w:color w:val="auto"/>
          <w:sz w:val="28"/>
          <w:szCs w:val="30"/>
          <w:u w:val="none"/>
          <w:lang w:val="en-US" w:eastAsia="zh-CN"/>
        </w:rPr>
        <w:t>签约合同价为（人民币）：</w:t>
      </w:r>
      <w:bookmarkEnd w:id="79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color w:val="auto"/>
          <w:sz w:val="28"/>
          <w:szCs w:val="30"/>
          <w:u w:val="none"/>
          <w:lang w:val="en-US" w:eastAsia="zh-CN"/>
        </w:rPr>
      </w:pPr>
      <w:r>
        <w:rPr>
          <w:rFonts w:hint="eastAsia" w:eastAsia="仿宋_GB2312"/>
          <w:color w:val="auto"/>
          <w:sz w:val="28"/>
          <w:szCs w:val="30"/>
          <w:u w:val="none"/>
          <w:lang w:val="en-US" w:eastAsia="zh-CN"/>
        </w:rPr>
        <w:t xml:space="preserve"> 暂定</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元（大写</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仿宋_GB2312"/>
          <w:color w:val="auto"/>
          <w:sz w:val="28"/>
          <w:szCs w:val="30"/>
          <w:u w:val="none"/>
          <w:lang w:val="en-US" w:eastAsia="zh-CN"/>
        </w:rPr>
      </w:pPr>
      <w:r>
        <w:rPr>
          <w:rFonts w:hint="eastAsia" w:eastAsia="仿宋_GB2312"/>
          <w:color w:val="auto"/>
          <w:sz w:val="28"/>
          <w:szCs w:val="30"/>
          <w:u w:val="none"/>
          <w:lang w:val="en-US" w:eastAsia="zh-CN"/>
        </w:rPr>
        <w:t>税率为</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%，发票类型为专用增值税发票；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olor w:val="auto"/>
          <w:sz w:val="28"/>
          <w:szCs w:val="30"/>
          <w:u w:val="none"/>
          <w:lang w:eastAsia="zh-CN"/>
        </w:rPr>
      </w:pPr>
      <w:r>
        <w:rPr>
          <w:rFonts w:hint="eastAsia" w:eastAsia="仿宋_GB2312"/>
          <w:color w:val="auto"/>
          <w:sz w:val="28"/>
          <w:szCs w:val="30"/>
          <w:u w:val="none"/>
          <w:lang w:val="en-US" w:eastAsia="zh-CN"/>
        </w:rPr>
        <w:t xml:space="preserve">4.2 </w:t>
      </w:r>
      <w:r>
        <w:rPr>
          <w:rFonts w:hint="eastAsia" w:ascii="Times New Roman" w:hAnsi="Times New Roman" w:eastAsia="仿宋_GB2312"/>
          <w:color w:val="auto"/>
          <w:sz w:val="28"/>
          <w:szCs w:val="30"/>
          <w:u w:val="none"/>
          <w:lang w:eastAsia="zh-CN"/>
        </w:rPr>
        <w:t>合同</w:t>
      </w:r>
      <w:r>
        <w:rPr>
          <w:rFonts w:hint="eastAsia" w:eastAsia="仿宋_GB2312"/>
          <w:color w:val="auto"/>
          <w:sz w:val="28"/>
          <w:szCs w:val="30"/>
          <w:u w:val="none"/>
          <w:lang w:val="en-US" w:eastAsia="zh-CN"/>
        </w:rPr>
        <w:t>计价方式</w:t>
      </w:r>
      <w:r>
        <w:rPr>
          <w:rFonts w:hint="eastAsia" w:ascii="Times New Roman" w:hAnsi="Times New Roman" w:eastAsia="仿宋_GB2312"/>
          <w:color w:val="auto"/>
          <w:sz w:val="28"/>
          <w:szCs w:val="30"/>
          <w:u w:val="none"/>
          <w:lang w:eastAsia="zh-CN"/>
        </w:rPr>
        <w:t>：本合同采用全费用固定综合单价，结算时按各项工作实际完成且经</w:t>
      </w:r>
      <w:r>
        <w:rPr>
          <w:rFonts w:hint="eastAsia" w:eastAsia="仿宋_GB2312"/>
          <w:color w:val="auto"/>
          <w:sz w:val="28"/>
          <w:szCs w:val="30"/>
          <w:u w:val="none"/>
          <w:lang w:val="en-US" w:eastAsia="zh-CN"/>
        </w:rPr>
        <w:t>甲方</w:t>
      </w:r>
      <w:r>
        <w:rPr>
          <w:rFonts w:hint="eastAsia" w:ascii="Times New Roman" w:hAnsi="Times New Roman" w:eastAsia="仿宋_GB2312"/>
          <w:color w:val="auto"/>
          <w:sz w:val="28"/>
          <w:szCs w:val="30"/>
          <w:u w:val="none"/>
          <w:lang w:eastAsia="zh-CN"/>
        </w:rPr>
        <w:t>验收合格的工程量乘以各项投标报价的全费用固定综合单价。该固定单价包含但不限于</w:t>
      </w:r>
      <w:r>
        <w:rPr>
          <w:rFonts w:hint="eastAsia" w:ascii="Times New Roman" w:hAnsi="Times New Roman" w:eastAsia="仿宋_GB2312"/>
          <w:color w:val="auto"/>
          <w:sz w:val="28"/>
          <w:szCs w:val="30"/>
          <w:u w:val="none"/>
          <w:lang w:val="en-US" w:eastAsia="zh-CN"/>
        </w:rPr>
        <w:t>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水费、二次搬运费、任何因素引起的临时停工费、甲供材料机械设备的看护费、资料编制及整理费、第三方配合费及其他在施工中需要乙方支出的费用、验收和政策性文件的各项风险等与工程有关的一切费用和价款以及承包人为完成合同全部义务应承担的一切成本、费用和支出以及承包人的合理利润等所有费用。</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baseline"/>
        <w:rPr>
          <w:rFonts w:hint="default" w:ascii="Times New Roman" w:hAnsi="Times New Roman" w:eastAsia="仿宋_GB2312" w:cs="Times New Roman"/>
          <w:color w:val="auto"/>
          <w:kern w:val="2"/>
          <w:sz w:val="28"/>
          <w:szCs w:val="30"/>
          <w:u w:val="none"/>
          <w:lang w:val="en-US" w:eastAsia="zh-CN" w:bidi="ar-SA"/>
        </w:rPr>
      </w:pPr>
      <w:r>
        <w:rPr>
          <w:rFonts w:hint="eastAsia" w:ascii="Times New Roman" w:hAnsi="Times New Roman" w:eastAsia="仿宋_GB2312" w:cs="Times New Roman"/>
          <w:color w:val="auto"/>
          <w:kern w:val="2"/>
          <w:sz w:val="28"/>
          <w:szCs w:val="30"/>
          <w:u w:val="none"/>
          <w:lang w:val="en-US" w:eastAsia="zh-CN" w:bidi="ar-SA"/>
        </w:rPr>
        <w:t>4.</w:t>
      </w:r>
      <w:r>
        <w:rPr>
          <w:rFonts w:hint="eastAsia" w:eastAsia="仿宋_GB2312" w:cs="Times New Roman"/>
          <w:color w:val="auto"/>
          <w:kern w:val="2"/>
          <w:sz w:val="28"/>
          <w:szCs w:val="30"/>
          <w:u w:val="none"/>
          <w:lang w:val="en-US" w:eastAsia="zh-CN" w:bidi="ar-SA"/>
        </w:rPr>
        <w:t>3</w:t>
      </w:r>
      <w:r>
        <w:rPr>
          <w:rFonts w:hint="eastAsia" w:ascii="Times New Roman" w:hAnsi="Times New Roman" w:eastAsia="仿宋_GB2312" w:cs="Times New Roman"/>
          <w:color w:val="auto"/>
          <w:kern w:val="2"/>
          <w:sz w:val="28"/>
          <w:szCs w:val="30"/>
          <w:u w:val="none"/>
          <w:lang w:val="en-US" w:eastAsia="zh-CN" w:bidi="ar-SA"/>
        </w:rPr>
        <w:t xml:space="preserve"> 合同含税全费用综合单价在合同执行过程中，风险和收益由乙方自行承担和享有，合同含税全费用综合单价不作调整。</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98" w:name="_Toc28431"/>
      <w:bookmarkStart w:id="799" w:name="_Toc31002"/>
      <w:bookmarkStart w:id="800" w:name="_Toc11892"/>
      <w:bookmarkStart w:id="801" w:name="_Toc28777"/>
      <w:bookmarkStart w:id="802" w:name="_Toc28470"/>
      <w:r>
        <w:rPr>
          <w:rFonts w:hint="eastAsia" w:ascii="Times New Roman" w:hAnsi="Times New Roman" w:eastAsia="黑体"/>
          <w:b w:val="0"/>
          <w:color w:val="auto"/>
          <w:sz w:val="28"/>
          <w:szCs w:val="32"/>
          <w:lang w:val="en-US" w:eastAsia="zh-CN"/>
        </w:rPr>
        <w:t>第五条 合同文件构成</w:t>
      </w:r>
      <w:bookmarkEnd w:id="798"/>
      <w:bookmarkEnd w:id="799"/>
      <w:bookmarkEnd w:id="800"/>
      <w:bookmarkEnd w:id="801"/>
      <w:bookmarkEnd w:id="802"/>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outlineLvl w:val="9"/>
        <w:rPr>
          <w:rFonts w:hint="eastAsia" w:ascii="Times New Roman" w:hAnsi="Times New Roman" w:eastAsia="仿宋"/>
          <w:color w:val="auto"/>
          <w:sz w:val="28"/>
          <w:szCs w:val="30"/>
          <w:lang w:val="en-US" w:eastAsia="zh-CN"/>
        </w:rPr>
      </w:pPr>
      <w:bookmarkStart w:id="803" w:name="_Toc683"/>
      <w:r>
        <w:rPr>
          <w:rFonts w:hint="eastAsia" w:ascii="Times New Roman" w:hAnsi="Times New Roman" w:eastAsia="仿宋"/>
          <w:color w:val="auto"/>
          <w:sz w:val="28"/>
          <w:szCs w:val="30"/>
          <w:lang w:val="en-US" w:eastAsia="zh-CN"/>
        </w:rPr>
        <w:t>5.1 组成本合同的文件及优先解释顺序如下：</w:t>
      </w:r>
      <w:bookmarkEnd w:id="803"/>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（1）</w:t>
      </w:r>
      <w:r>
        <w:rPr>
          <w:rFonts w:hint="eastAsia" w:ascii="Times New Roman" w:hAnsi="Times New Roman" w:eastAsia="仿宋"/>
          <w:color w:val="auto"/>
          <w:sz w:val="28"/>
          <w:szCs w:val="30"/>
          <w:lang w:val="en-US" w:eastAsia="zh-CN"/>
        </w:rPr>
        <w:t>本合同及附件、履行本合同的相关补充协议（含洽商记录、会议纪要、工程变更、现场签证、索赔等修正文件）；</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（2）中标通知书；</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（3）</w:t>
      </w:r>
      <w:r>
        <w:rPr>
          <w:rFonts w:hint="eastAsia" w:ascii="Times New Roman" w:hAnsi="Times New Roman" w:eastAsia="仿宋"/>
          <w:color w:val="auto"/>
          <w:sz w:val="28"/>
          <w:szCs w:val="30"/>
          <w:lang w:val="en-US" w:eastAsia="zh-CN"/>
        </w:rPr>
        <w:t>招标文件及附件</w:t>
      </w:r>
      <w:r>
        <w:rPr>
          <w:rFonts w:hint="eastAsia" w:ascii="Times New Roman" w:hAnsi="Times New Roman" w:eastAsia="仿宋"/>
          <w:color w:val="auto"/>
          <w:sz w:val="28"/>
          <w:szCs w:val="30"/>
          <w:lang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（4）投标</w:t>
      </w:r>
      <w:r>
        <w:rPr>
          <w:rFonts w:hint="eastAsia" w:ascii="Times New Roman" w:hAnsi="Times New Roman" w:eastAsia="仿宋"/>
          <w:color w:val="auto"/>
          <w:sz w:val="28"/>
          <w:szCs w:val="30"/>
          <w:lang w:val="en-US" w:eastAsia="zh-CN"/>
        </w:rPr>
        <w:t>文件及附件</w:t>
      </w:r>
      <w:r>
        <w:rPr>
          <w:rFonts w:hint="eastAsia" w:ascii="Times New Roman" w:hAnsi="Times New Roman" w:eastAsia="仿宋"/>
          <w:color w:val="auto"/>
          <w:sz w:val="28"/>
          <w:szCs w:val="30"/>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5</w:t>
      </w: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技术标准和要求；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（6）图纸</w:t>
      </w:r>
      <w:r>
        <w:rPr>
          <w:rFonts w:hint="eastAsia" w:eastAsia="仿宋"/>
          <w:color w:val="auto"/>
          <w:sz w:val="28"/>
          <w:szCs w:val="30"/>
          <w:u w:val="none"/>
          <w:lang w:val="en-US" w:eastAsia="zh-CN"/>
        </w:rPr>
        <w:t>及甲供材料清单</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（7）已标价的全费用综合单价工程量清单</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w:t>
      </w:r>
      <w:r>
        <w:rPr>
          <w:rFonts w:hint="eastAsia" w:ascii="Times New Roman" w:hAnsi="Times New Roman" w:eastAsia="仿宋"/>
          <w:color w:val="auto"/>
          <w:sz w:val="28"/>
          <w:szCs w:val="30"/>
          <w:lang w:val="en-US" w:eastAsia="zh-CN"/>
        </w:rPr>
        <w:t>8</w:t>
      </w:r>
      <w:r>
        <w:rPr>
          <w:rFonts w:hint="eastAsia" w:ascii="Times New Roman" w:hAnsi="Times New Roman" w:eastAsia="仿宋"/>
          <w:color w:val="auto"/>
          <w:sz w:val="28"/>
          <w:szCs w:val="30"/>
        </w:rPr>
        <w:t>）双方约定的其他合同文件。</w:t>
      </w:r>
    </w:p>
    <w:p>
      <w:pPr>
        <w:pStyle w:val="12"/>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s="Times New Roman"/>
          <w:color w:val="auto"/>
          <w:kern w:val="2"/>
          <w:sz w:val="28"/>
          <w:szCs w:val="30"/>
          <w:lang w:val="en-US" w:eastAsia="zh-CN" w:bidi="ar-SA"/>
        </w:rPr>
        <w:t xml:space="preserve">5.2 </w:t>
      </w:r>
      <w:r>
        <w:rPr>
          <w:rFonts w:hint="eastAsia" w:ascii="Times New Roman" w:hAnsi="Times New Roman" w:eastAsia="仿宋"/>
          <w:color w:val="auto"/>
          <w:sz w:val="28"/>
          <w:szCs w:val="30"/>
        </w:rPr>
        <w:t>上述各项合同文件包括双方就该项合同文件所作出的补充和修改，属于同一类内容的合同文件应以最新签署的为准。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imes New Roman"/>
          <w:color w:val="auto"/>
          <w:kern w:val="2"/>
          <w:sz w:val="28"/>
          <w:szCs w:val="30"/>
          <w:lang w:val="en-US" w:eastAsia="zh-CN" w:bidi="ar-SA"/>
        </w:rPr>
        <w:t xml:space="preserve">5.3 </w:t>
      </w:r>
      <w:r>
        <w:rPr>
          <w:rFonts w:hint="eastAsia" w:ascii="Times New Roman" w:hAnsi="Times New Roman" w:eastAsia="仿宋"/>
          <w:color w:val="auto"/>
          <w:sz w:val="28"/>
          <w:szCs w:val="30"/>
        </w:rPr>
        <w:t>在合同订立及履行过程中形成的与合同有关的文件均构成合同文件组成部分，并根据其性质确定优先解释顺序。</w:t>
      </w:r>
    </w:p>
    <w:p>
      <w:pPr>
        <w:pageBreakBefore w:val="0"/>
        <w:kinsoku/>
        <w:overflowPunct/>
        <w:topLinePunct w:val="0"/>
        <w:bidi w:val="0"/>
        <w:spacing w:line="360" w:lineRule="auto"/>
        <w:rPr>
          <w:rFonts w:hint="eastAsia" w:ascii="Times New Roman" w:hAnsi="Times New Roman" w:eastAsia="黑体"/>
          <w:b w:val="0"/>
          <w:color w:val="auto"/>
          <w:sz w:val="28"/>
          <w:szCs w:val="32"/>
          <w:lang w:val="en-US" w:eastAsia="zh-CN"/>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04" w:name="_Toc14589"/>
      <w:bookmarkStart w:id="805" w:name="_Toc6567"/>
      <w:bookmarkStart w:id="806" w:name="_Toc11119"/>
      <w:bookmarkStart w:id="807" w:name="_Toc20138"/>
      <w:bookmarkStart w:id="808" w:name="_Toc10193"/>
      <w:r>
        <w:rPr>
          <w:rFonts w:hint="eastAsia" w:ascii="Times New Roman" w:hAnsi="Times New Roman" w:eastAsia="黑体"/>
          <w:b w:val="0"/>
          <w:color w:val="auto"/>
          <w:sz w:val="28"/>
          <w:szCs w:val="32"/>
          <w:lang w:val="en-US" w:eastAsia="zh-CN"/>
        </w:rPr>
        <w:t>第六条 适用的标准和规范</w:t>
      </w:r>
      <w:bookmarkEnd w:id="804"/>
      <w:bookmarkEnd w:id="805"/>
      <w:bookmarkEnd w:id="806"/>
      <w:bookmarkEnd w:id="807"/>
      <w:bookmarkEnd w:id="808"/>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ascii="Times New Roman" w:hAnsi="Times New Roman" w:eastAsia="仿宋"/>
          <w:color w:val="auto"/>
          <w:sz w:val="28"/>
          <w:szCs w:val="30"/>
        </w:rPr>
      </w:pPr>
      <w:bookmarkStart w:id="809" w:name="_Toc22199"/>
      <w:bookmarkStart w:id="810" w:name="_Toc21103"/>
      <w:r>
        <w:rPr>
          <w:rFonts w:hint="eastAsia" w:ascii="Times New Roman" w:hAnsi="Times New Roman" w:eastAsia="仿宋"/>
          <w:b w:val="0"/>
          <w:bCs/>
          <w:color w:val="auto"/>
          <w:sz w:val="28"/>
          <w:szCs w:val="30"/>
          <w:lang w:val="en-US" w:eastAsia="zh-CN"/>
        </w:rPr>
        <w:t xml:space="preserve">6.1 </w:t>
      </w:r>
      <w:r>
        <w:rPr>
          <w:rFonts w:hint="eastAsia" w:ascii="Times New Roman" w:hAnsi="Times New Roman" w:eastAsia="仿宋"/>
          <w:color w:val="auto"/>
          <w:sz w:val="28"/>
          <w:szCs w:val="30"/>
        </w:rPr>
        <w:t>适用工程的国家标准、行业标准、工程所在地的地方性标准，以及相应的规范、规程等。</w:t>
      </w:r>
      <w:bookmarkEnd w:id="809"/>
      <w:bookmarkEnd w:id="810"/>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811" w:name="_Toc28861"/>
      <w:bookmarkStart w:id="812" w:name="_Ref531949657"/>
      <w:bookmarkStart w:id="813" w:name="_Toc20114"/>
      <w:r>
        <w:rPr>
          <w:rFonts w:hint="eastAsia" w:ascii="Times New Roman" w:hAnsi="Times New Roman" w:eastAsia="仿宋"/>
          <w:color w:val="auto"/>
          <w:sz w:val="28"/>
          <w:szCs w:val="30"/>
          <w:lang w:val="en-US" w:eastAsia="zh-CN"/>
        </w:rPr>
        <w:t xml:space="preserve">6.2 </w:t>
      </w:r>
      <w:r>
        <w:rPr>
          <w:rFonts w:hint="eastAsia" w:ascii="Times New Roman" w:hAnsi="Times New Roman" w:eastAsia="仿宋"/>
          <w:color w:val="auto"/>
          <w:sz w:val="28"/>
          <w:szCs w:val="30"/>
        </w:rPr>
        <w:t>没有相应成文规定的标准、规范时，由</w:t>
      </w:r>
      <w:r>
        <w:rPr>
          <w:rFonts w:hint="eastAsia" w:ascii="Times New Roman" w:hAnsi="Times New Roman" w:eastAsia="仿宋"/>
          <w:color w:val="auto"/>
          <w:sz w:val="28"/>
          <w:szCs w:val="30"/>
          <w:lang w:val="en-US" w:eastAsia="zh-CN"/>
        </w:rPr>
        <w:t>甲方向乙方</w:t>
      </w:r>
      <w:r>
        <w:rPr>
          <w:rFonts w:hint="eastAsia" w:ascii="Times New Roman" w:hAnsi="Times New Roman" w:eastAsia="仿宋"/>
          <w:color w:val="auto"/>
          <w:sz w:val="28"/>
          <w:szCs w:val="30"/>
        </w:rPr>
        <w:t>列明技术要求，</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按约定的时间和技术要求提出实施方法，经</w:t>
      </w:r>
      <w:r>
        <w:rPr>
          <w:rFonts w:hint="eastAsia" w:ascii="Times New Roman" w:hAnsi="Times New Roman" w:eastAsia="仿宋"/>
          <w:color w:val="auto"/>
          <w:sz w:val="28"/>
          <w:szCs w:val="30"/>
          <w:lang w:val="en-US" w:eastAsia="zh-CN"/>
        </w:rPr>
        <w:t>甲方</w:t>
      </w:r>
      <w:r>
        <w:rPr>
          <w:rFonts w:hint="eastAsia" w:ascii="Times New Roman" w:hAnsi="Times New Roman" w:eastAsia="仿宋"/>
          <w:color w:val="auto"/>
          <w:sz w:val="28"/>
          <w:szCs w:val="30"/>
        </w:rPr>
        <w:t>认可后执行。</w:t>
      </w:r>
      <w:bookmarkEnd w:id="811"/>
      <w:bookmarkEnd w:id="812"/>
      <w:bookmarkEnd w:id="813"/>
      <w:bookmarkStart w:id="814" w:name="_Ref4421272"/>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815" w:name="_Toc18771"/>
      <w:bookmarkStart w:id="816" w:name="_Toc26908"/>
      <w:r>
        <w:rPr>
          <w:rFonts w:hint="eastAsia" w:ascii="Times New Roman" w:hAnsi="Times New Roman" w:eastAsia="仿宋"/>
          <w:color w:val="auto"/>
          <w:sz w:val="28"/>
          <w:szCs w:val="30"/>
          <w:lang w:val="en-US" w:eastAsia="zh-CN"/>
        </w:rPr>
        <w:t xml:space="preserve">6.3 </w:t>
      </w:r>
      <w:r>
        <w:rPr>
          <w:rFonts w:hint="eastAsia" w:ascii="Times New Roman" w:hAnsi="Times New Roman" w:eastAsia="仿宋"/>
          <w:color w:val="auto"/>
          <w:sz w:val="28"/>
          <w:szCs w:val="30"/>
        </w:rPr>
        <w:t>除另有约定外，应视为</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在订立合同前已充分预见前述技术标准和功能要求的复杂程度，签约合同价中已包含由此产生的费用。</w:t>
      </w:r>
      <w:bookmarkEnd w:id="814"/>
      <w:bookmarkEnd w:id="815"/>
      <w:bookmarkEnd w:id="816"/>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817" w:name="_Toc1440"/>
      <w:bookmarkStart w:id="818" w:name="_Toc15547"/>
      <w:bookmarkStart w:id="819" w:name="_Toc31165"/>
      <w:bookmarkStart w:id="820" w:name="_Toc30485"/>
      <w:bookmarkStart w:id="821" w:name="_Toc28585"/>
      <w:r>
        <w:rPr>
          <w:rFonts w:hint="eastAsia" w:ascii="Times New Roman" w:hAnsi="Times New Roman" w:eastAsia="黑体"/>
          <w:b w:val="0"/>
          <w:color w:val="auto"/>
          <w:sz w:val="28"/>
          <w:szCs w:val="32"/>
          <w:lang w:val="en-US" w:eastAsia="zh-CN"/>
        </w:rPr>
        <w:t>第七条 双方驻工地代表</w:t>
      </w:r>
      <w:bookmarkEnd w:id="817"/>
      <w:bookmarkEnd w:id="818"/>
      <w:bookmarkEnd w:id="819"/>
      <w:bookmarkEnd w:id="820"/>
      <w:bookmarkEnd w:id="821"/>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.1 甲方委派的工地代表：</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，代表甲方负责现场施工的管理。涉及工程范围、工程量、工期、工程款等合同实质性内容变更的须甲方盖章确认。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.2 乙方委派的</w:t>
      </w:r>
      <w:r>
        <w:rPr>
          <w:rFonts w:hint="eastAsia" w:eastAsia="仿宋"/>
          <w:color w:val="auto"/>
          <w:kern w:val="0"/>
          <w:sz w:val="28"/>
          <w:szCs w:val="32"/>
          <w:lang w:val="en-US" w:eastAsia="zh-CN"/>
        </w:rPr>
        <w:t>项目负责人</w:t>
      </w:r>
      <w:r>
        <w:rPr>
          <w:rFonts w:hint="eastAsia" w:ascii="Times New Roman" w:hAnsi="Times New Roman" w:eastAsia="仿宋"/>
          <w:color w:val="auto"/>
          <w:kern w:val="0"/>
          <w:sz w:val="28"/>
          <w:szCs w:val="32"/>
        </w:rPr>
        <w:t>：</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，代表乙方负责现场管理。乙方代表行为视为乙方行为。</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22" w:name="_Toc19353"/>
      <w:bookmarkStart w:id="823" w:name="_Toc21595"/>
      <w:bookmarkStart w:id="824" w:name="_Toc3310"/>
      <w:bookmarkStart w:id="825" w:name="_Toc25591"/>
      <w:bookmarkStart w:id="826" w:name="_Toc27602"/>
      <w:r>
        <w:rPr>
          <w:rFonts w:hint="eastAsia" w:ascii="Times New Roman" w:hAnsi="Times New Roman" w:eastAsia="黑体"/>
          <w:b w:val="0"/>
          <w:color w:val="auto"/>
          <w:sz w:val="28"/>
          <w:szCs w:val="32"/>
          <w:lang w:val="en-US" w:eastAsia="zh-CN"/>
        </w:rPr>
        <w:t>第八条 联络和送达</w:t>
      </w:r>
      <w:bookmarkEnd w:id="822"/>
      <w:bookmarkEnd w:id="823"/>
      <w:bookmarkEnd w:id="824"/>
      <w:bookmarkEnd w:id="825"/>
      <w:bookmarkEnd w:id="826"/>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.1</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与合同有关的通知、批准、证明、证书、指示、指令、要求、请求、同意、意见、确定和决定等，均应采用书面形式，并应在合同约定的期限内送达</w:t>
      </w:r>
      <w:r>
        <w:rPr>
          <w:rFonts w:hint="eastAsia" w:ascii="Times New Roman" w:hAnsi="Times New Roman" w:eastAsia="仿宋"/>
          <w:color w:val="auto"/>
          <w:kern w:val="0"/>
          <w:sz w:val="28"/>
          <w:szCs w:val="32"/>
          <w:lang w:val="en-US" w:eastAsia="zh-CN"/>
        </w:rPr>
        <w:t>合同首页联系</w:t>
      </w:r>
      <w:r>
        <w:rPr>
          <w:rFonts w:ascii="Times New Roman" w:hAnsi="Times New Roman" w:eastAsia="仿宋"/>
          <w:color w:val="auto"/>
          <w:kern w:val="0"/>
          <w:sz w:val="28"/>
          <w:szCs w:val="32"/>
        </w:rPr>
        <w:t>人</w:t>
      </w:r>
      <w:r>
        <w:rPr>
          <w:rFonts w:hint="eastAsia" w:ascii="Times New Roman" w:hAnsi="Times New Roman" w:eastAsia="仿宋"/>
          <w:color w:val="auto"/>
          <w:kern w:val="0"/>
          <w:sz w:val="28"/>
          <w:szCs w:val="32"/>
          <w:lang w:val="en-US" w:eastAsia="zh-CN"/>
        </w:rPr>
        <w:t>或联系邮箱</w:t>
      </w:r>
      <w:r>
        <w:rPr>
          <w:rFonts w:ascii="Times New Roman" w:hAnsi="Times New Roman" w:eastAsia="仿宋"/>
          <w:color w:val="auto"/>
          <w:kern w:val="0"/>
          <w:sz w:val="28"/>
          <w:szCs w:val="32"/>
        </w:rPr>
        <w:t>。</w:t>
      </w:r>
    </w:p>
    <w:p>
      <w:pPr>
        <w:pageBreakBefore w:val="0"/>
        <w:numPr>
          <w:ilvl w:val="0"/>
          <w:numId w:val="0"/>
        </w:numPr>
        <w:kinsoku/>
        <w:wordWrap/>
        <w:overflowPunct/>
        <w:topLinePunct w:val="0"/>
        <w:bidi w:val="0"/>
        <w:spacing w:line="360" w:lineRule="auto"/>
        <w:ind w:leftChars="0" w:firstLine="560" w:firstLineChars="200"/>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任何一方指定的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发生变动的，应提前</w:t>
      </w:r>
      <w:r>
        <w:rPr>
          <w:rFonts w:hint="eastAsia" w:ascii="Times New Roman" w:hAnsi="Times New Roman" w:eastAsia="仿宋"/>
          <w:color w:val="auto"/>
          <w:kern w:val="0"/>
          <w:sz w:val="28"/>
          <w:szCs w:val="32"/>
          <w:lang w:val="en-US" w:eastAsia="zh-CN"/>
        </w:rPr>
        <w:t>三</w:t>
      </w:r>
      <w:r>
        <w:rPr>
          <w:rFonts w:ascii="Times New Roman" w:hAnsi="Times New Roman" w:eastAsia="仿宋"/>
          <w:color w:val="auto"/>
          <w:kern w:val="0"/>
          <w:sz w:val="28"/>
          <w:szCs w:val="32"/>
        </w:rPr>
        <w:t>天以书面形式通知对方。</w:t>
      </w:r>
      <w:r>
        <w:rPr>
          <w:rFonts w:hint="eastAsia" w:ascii="Times New Roman" w:hAnsi="Times New Roman" w:eastAsia="仿宋"/>
          <w:color w:val="auto"/>
          <w:kern w:val="0"/>
          <w:sz w:val="28"/>
          <w:szCs w:val="32"/>
          <w:lang w:val="en-US" w:eastAsia="zh-CN"/>
        </w:rPr>
        <w:t>未按前述约定方式变更的，上述联系地址、联系方式仍然有效。</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 xml:space="preserve">.3 </w:t>
      </w:r>
      <w:r>
        <w:rPr>
          <w:rFonts w:hint="eastAsia" w:ascii="Times New Roman" w:hAnsi="Times New Roman" w:eastAsia="仿宋"/>
          <w:color w:val="auto"/>
          <w:kern w:val="0"/>
          <w:sz w:val="28"/>
          <w:szCs w:val="32"/>
          <w:lang w:val="en-US" w:eastAsia="zh-CN"/>
        </w:rPr>
        <w:t>任何一方</w:t>
      </w:r>
      <w:r>
        <w:rPr>
          <w:rFonts w:ascii="Times New Roman" w:hAnsi="Times New Roman" w:eastAsia="仿宋"/>
          <w:color w:val="auto"/>
          <w:kern w:val="0"/>
          <w:sz w:val="28"/>
          <w:szCs w:val="32"/>
        </w:rPr>
        <w:t>应当及时签收另一方送达至指定的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的来往信函</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文件等</w:t>
      </w:r>
      <w:r>
        <w:rPr>
          <w:rFonts w:ascii="Times New Roman" w:hAnsi="Times New Roman" w:eastAsia="仿宋"/>
          <w:color w:val="auto"/>
          <w:kern w:val="0"/>
          <w:sz w:val="28"/>
          <w:szCs w:val="32"/>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.4 双方一致确认本合同首页载明的联系地址、联系方式为双方解决合同争议时接收其他方文件信函或司法机关（法院、仲裁机构）诉讼、仲裁文书的唯一送达地址及联系方式。各方根据本合同首页载明的地址寄送相关文件的，寄出的第</w:t>
      </w:r>
      <w:r>
        <w:rPr>
          <w:rFonts w:hint="eastAsia" w:ascii="Times New Roman" w:hAnsi="Times New Roman" w:eastAsia="仿宋"/>
          <w:color w:val="auto"/>
          <w:kern w:val="0"/>
          <w:sz w:val="28"/>
          <w:szCs w:val="32"/>
          <w:u w:val="single"/>
          <w:lang w:val="en-US" w:eastAsia="zh-CN"/>
        </w:rPr>
        <w:t xml:space="preserve">三 </w:t>
      </w:r>
      <w:r>
        <w:rPr>
          <w:rFonts w:hint="eastAsia" w:ascii="Times New Roman" w:hAnsi="Times New Roman" w:eastAsia="仿宋"/>
          <w:color w:val="auto"/>
          <w:kern w:val="0"/>
          <w:sz w:val="28"/>
          <w:szCs w:val="32"/>
          <w:lang w:val="en-US" w:eastAsia="zh-CN"/>
        </w:rPr>
        <w:t>天即视为对方已签收；受送达人拒收或退回的，不影响送达的效力。</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u w:val="none"/>
          <w:lang w:val="en-US" w:eastAsia="zh-CN"/>
        </w:rPr>
      </w:pPr>
      <w:r>
        <w:rPr>
          <w:rFonts w:hint="eastAsia" w:eastAsia="仿宋"/>
          <w:color w:val="auto"/>
          <w:kern w:val="0"/>
          <w:sz w:val="28"/>
          <w:szCs w:val="32"/>
          <w:u w:val="none"/>
          <w:lang w:val="en-US" w:eastAsia="zh-CN"/>
        </w:rPr>
        <w:t>8.5 甲、乙双方未按照上述约定履行的或拒绝签收的，由责任方承担由此增加的费用和延误工期造成的损失。</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27" w:name="_Toc321"/>
      <w:bookmarkStart w:id="828" w:name="_Toc16152"/>
      <w:bookmarkStart w:id="829" w:name="_Toc17421"/>
      <w:bookmarkStart w:id="830" w:name="_Toc3854"/>
      <w:bookmarkStart w:id="831" w:name="_Toc18943"/>
      <w:r>
        <w:rPr>
          <w:rFonts w:hint="eastAsia" w:ascii="Times New Roman" w:hAnsi="Times New Roman" w:eastAsia="黑体"/>
          <w:b w:val="0"/>
          <w:color w:val="auto"/>
          <w:sz w:val="28"/>
          <w:szCs w:val="32"/>
          <w:lang w:val="en-US" w:eastAsia="zh-CN"/>
        </w:rPr>
        <w:t>第九条 甲方的权利义务</w:t>
      </w:r>
      <w:bookmarkEnd w:id="827"/>
      <w:bookmarkEnd w:id="828"/>
      <w:bookmarkEnd w:id="829"/>
      <w:bookmarkEnd w:id="830"/>
      <w:bookmarkEnd w:id="831"/>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 甲方应根据工程需要最迟于开工日向乙方提供技术文件、图纸、工程量清单等基础材料（如果有）并组织交底，但需在开工后方能提供的除外。</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 甲方应根据工程需要最迟于开工日向乙方移交施工场地，给乙方进入和占用施工场地各部分的权利，但上述进入和占用权不为乙方独享。</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9</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3</w:t>
      </w:r>
      <w:r>
        <w:rPr>
          <w:rFonts w:hint="eastAsia" w:ascii="Times New Roman" w:hAnsi="Times New Roman" w:eastAsia="仿宋"/>
          <w:color w:val="auto"/>
          <w:kern w:val="0"/>
          <w:sz w:val="28"/>
          <w:szCs w:val="32"/>
          <w:u w:val="none"/>
          <w:lang w:val="en-US" w:eastAsia="zh-CN"/>
        </w:rPr>
        <w:t xml:space="preserve"> 甲方应负责与监理、设计及有关部门联系，协调现场工作关系；行政主管部门对相关工程有新的指示、要求和规定的，甲方获知后应在合理期限内通知乙方。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甲方负责实施对质量、工期的控制以及对安全生产、文明施工、疫情防控等的监督、检查。</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9.5</w:t>
      </w:r>
      <w:r>
        <w:rPr>
          <w:rFonts w:hint="eastAsia" w:ascii="Times New Roman" w:hAnsi="Times New Roman" w:eastAsia="仿宋"/>
          <w:color w:val="auto"/>
          <w:kern w:val="0"/>
          <w:sz w:val="28"/>
          <w:szCs w:val="32"/>
          <w:lang w:val="en-US" w:eastAsia="zh-CN"/>
        </w:rPr>
        <w:t xml:space="preserve"> 甲方应及时组织对劳务成果的完工验收和结算。</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9.6</w:t>
      </w:r>
      <w:r>
        <w:rPr>
          <w:rFonts w:hint="eastAsia" w:ascii="Times New Roman" w:hAnsi="Times New Roman" w:eastAsia="仿宋"/>
          <w:color w:val="auto"/>
          <w:kern w:val="0"/>
          <w:sz w:val="28"/>
          <w:szCs w:val="32"/>
          <w:lang w:val="en-US" w:eastAsia="zh-CN"/>
        </w:rPr>
        <w:t xml:space="preserve"> 甲方应按合同约定及时向乙方支付合同价款。</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32" w:name="_Toc24058"/>
      <w:bookmarkStart w:id="833" w:name="_Toc23935"/>
      <w:bookmarkStart w:id="834" w:name="_Toc10949"/>
      <w:bookmarkStart w:id="835" w:name="_Toc31653"/>
      <w:bookmarkStart w:id="836" w:name="_Toc474"/>
      <w:r>
        <w:rPr>
          <w:rFonts w:hint="eastAsia" w:ascii="Times New Roman" w:hAnsi="Times New Roman" w:eastAsia="黑体"/>
          <w:b w:val="0"/>
          <w:color w:val="auto"/>
          <w:sz w:val="28"/>
          <w:szCs w:val="32"/>
          <w:lang w:val="en-US" w:eastAsia="zh-CN"/>
        </w:rPr>
        <w:t>第十条 乙方的权利义务</w:t>
      </w:r>
      <w:bookmarkEnd w:id="832"/>
      <w:bookmarkEnd w:id="833"/>
      <w:bookmarkEnd w:id="834"/>
      <w:bookmarkEnd w:id="835"/>
      <w:bookmarkEnd w:id="836"/>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eastAsia="仿宋"/>
          <w:color w:val="auto"/>
          <w:kern w:val="0"/>
          <w:sz w:val="28"/>
          <w:szCs w:val="32"/>
          <w:lang w:val="en-US" w:eastAsia="zh-CN"/>
        </w:rPr>
      </w:pPr>
      <w:bookmarkStart w:id="837" w:name="_Toc11126"/>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 乙方自行解决施工用水</w:t>
      </w:r>
      <w:r>
        <w:rPr>
          <w:rFonts w:hint="eastAsia" w:eastAsia="仿宋"/>
          <w:color w:val="auto"/>
          <w:kern w:val="0"/>
          <w:sz w:val="28"/>
          <w:szCs w:val="32"/>
          <w:lang w:val="en-US" w:eastAsia="zh-CN"/>
        </w:rPr>
        <w:t>、</w:t>
      </w:r>
      <w:r>
        <w:rPr>
          <w:rFonts w:hint="eastAsia" w:ascii="Times New Roman" w:hAnsi="Times New Roman" w:eastAsia="仿宋"/>
          <w:color w:val="auto"/>
          <w:kern w:val="0"/>
          <w:sz w:val="28"/>
          <w:szCs w:val="32"/>
          <w:lang w:val="en-US" w:eastAsia="zh-CN"/>
        </w:rPr>
        <w:t>用电</w:t>
      </w:r>
      <w:r>
        <w:rPr>
          <w:rFonts w:hint="eastAsia" w:eastAsia="仿宋"/>
          <w:color w:val="auto"/>
          <w:kern w:val="0"/>
          <w:sz w:val="28"/>
          <w:szCs w:val="32"/>
          <w:lang w:val="en-US" w:eastAsia="zh-CN"/>
        </w:rPr>
        <w:t>。</w:t>
      </w:r>
      <w:bookmarkEnd w:id="837"/>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 按法律规定和合同约定完成工程，包括满足合同所必需的或合同隐含的以及由乙方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10.3 按法律规定和合同约定采取施工安全和环境保护措施，办理工伤保险，确保工程及人员、材料、设备和设施的安全。施工期间，乙方应避免因施工危及红线范围外的邻近道路、建筑安全；应注意做好对周边建（构）筑物、绿化、设施设备的保护，监测以及安全防护，采取有效的防尘及降低噪声的措施，减小施工噪音及污水等对周边环境的影响包括对学校教职工及学生生活、工作等的影响。</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color w:val="auto"/>
          <w:lang w:val="en-US" w:eastAsia="zh-CN"/>
        </w:rPr>
      </w:pPr>
      <w:r>
        <w:rPr>
          <w:rFonts w:hint="eastAsia" w:eastAsia="仿宋"/>
          <w:color w:val="auto"/>
          <w:kern w:val="0"/>
          <w:sz w:val="28"/>
          <w:szCs w:val="32"/>
          <w:lang w:val="en-US" w:eastAsia="zh-CN"/>
        </w:rPr>
        <w:t>10.4 将甲方按合同约定支付的各项价款专用于合同工程，且应及时支付其雇用人员工资。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ascii="Times New Roman" w:hAnsi="Times New Roman" w:eastAsia="仿宋"/>
          <w:color w:val="auto"/>
          <w:kern w:val="0"/>
          <w:sz w:val="28"/>
          <w:szCs w:val="32"/>
          <w:u w:val="none"/>
          <w:lang w:val="en-US" w:eastAsia="zh-CN"/>
        </w:rPr>
      </w:pPr>
      <w:bookmarkStart w:id="838" w:name="_Toc10215"/>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5</w:t>
      </w:r>
      <w:r>
        <w:rPr>
          <w:rFonts w:hint="eastAsia" w:ascii="Times New Roman" w:hAnsi="Times New Roman" w:eastAsia="仿宋"/>
          <w:color w:val="auto"/>
          <w:kern w:val="0"/>
          <w:sz w:val="28"/>
          <w:szCs w:val="32"/>
          <w:u w:val="none"/>
          <w:lang w:val="en-US" w:eastAsia="zh-CN"/>
        </w:rPr>
        <w:t xml:space="preserve"> 乙方对本合同劳务分包范围内的工程质量向甲方负责。</w:t>
      </w:r>
      <w:bookmarkEnd w:id="838"/>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乙方应自觉遵守法律法规及有关规章制度。根据工程需要，委派项目负责人</w:t>
      </w:r>
      <w:r>
        <w:rPr>
          <w:rFonts w:hint="default" w:ascii="Times New Roman" w:hAnsi="Times New Roman" w:cs="Times New Roman"/>
          <w:color w:val="auto"/>
        </w:rPr>
        <w:t>，</w:t>
      </w:r>
      <w:r>
        <w:rPr>
          <w:rFonts w:hint="default" w:ascii="Times New Roman" w:hAnsi="Times New Roman" w:eastAsia="仿宋"/>
          <w:color w:val="auto"/>
          <w:kern w:val="0"/>
          <w:sz w:val="28"/>
          <w:szCs w:val="32"/>
          <w:lang w:val="en-US" w:eastAsia="zh-CN"/>
        </w:rPr>
        <w:t>负责按要求组织施工，保质、保量、按时完成施工任务，解决由乙方负责的各项事宜</w:t>
      </w:r>
      <w:r>
        <w:rPr>
          <w:rFonts w:hint="eastAsia" w:ascii="Times New Roman" w:hAnsi="Times New Roman" w:eastAsia="仿宋"/>
          <w:color w:val="auto"/>
          <w:kern w:val="0"/>
          <w:sz w:val="28"/>
          <w:szCs w:val="32"/>
          <w:lang w:val="en-US" w:eastAsia="zh-CN"/>
        </w:rPr>
        <w:t>；组织持有相应资格证书的人员投入劳务作业。前述人员未经甲方书面同意不得更换。</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乙方的所有人员均应具备履行相应职责的能力，且均应按甲方要求进行实名制管理，包括但不限于进出场管理、登记造册以及各种证照的办理；还应办理工伤保险和意外伤害保险。</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应与管理、作业人员签订书面劳动合同，并按甲方要求提供在本项目上所有人员的劳动合同签署情况、出勤情况及工资核算及支付情况的盖章书面记录。还应按照相关法律法规的要求，及时足额支付己方人员工资，尤其不得拖欠农民工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 xml:space="preserve"> 乙方应采取措施，确保工程及其人员、材料、设备和设施的安全，防止因劳务作业造成人身伤害和财产损失；避免对邻近的公共设施产生干扰，不得影响他人作业或生活。自觉遵守行政主管部门、</w:t>
      </w:r>
      <w:r>
        <w:rPr>
          <w:rFonts w:hint="eastAsia" w:eastAsia="仿宋"/>
          <w:color w:val="auto"/>
          <w:kern w:val="0"/>
          <w:sz w:val="28"/>
          <w:szCs w:val="32"/>
          <w:lang w:val="en-US" w:eastAsia="zh-CN"/>
        </w:rPr>
        <w:t>业主、监理</w:t>
      </w:r>
      <w:r>
        <w:rPr>
          <w:rFonts w:hint="eastAsia" w:ascii="Times New Roman" w:hAnsi="Times New Roman" w:eastAsia="仿宋"/>
          <w:color w:val="auto"/>
          <w:kern w:val="0"/>
          <w:sz w:val="28"/>
          <w:szCs w:val="32"/>
          <w:lang w:val="en-US" w:eastAsia="zh-CN"/>
        </w:rPr>
        <w:t>、甲方关于安全文明施工的要求和规定。发生安全事故的，乙方应按有关规定立即上报有关部门并报告甲方，同时按国家有关法律、行政法规对事故进行处理。</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11</w:t>
      </w:r>
      <w:r>
        <w:rPr>
          <w:rFonts w:hint="eastAsia" w:ascii="Times New Roman" w:hAnsi="Times New Roman" w:eastAsia="仿宋"/>
          <w:color w:val="auto"/>
          <w:kern w:val="0"/>
          <w:sz w:val="28"/>
          <w:szCs w:val="32"/>
          <w:u w:val="none"/>
          <w:lang w:val="en-US" w:eastAsia="zh-CN"/>
        </w:rPr>
        <w:t xml:space="preserve"> 乙方应自觉遵守行政主管部门、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、甲方关于疫情防控的实时要求和规定。自觉遵守适用的职业健康的法律，负责己方人员的职业健康、保护和安全防护。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12</w:t>
      </w:r>
      <w:r>
        <w:rPr>
          <w:rFonts w:hint="eastAsia" w:ascii="Times New Roman" w:hAnsi="Times New Roman" w:eastAsia="仿宋"/>
          <w:color w:val="auto"/>
          <w:kern w:val="0"/>
          <w:sz w:val="28"/>
          <w:szCs w:val="32"/>
          <w:lang w:val="en-US" w:eastAsia="zh-CN"/>
        </w:rPr>
        <w:t xml:space="preserve"> 乙方应承担由于自身责任造成的修复、返工、工期拖延、安全事故、现场管理不符合规定造成的损失（包括直接损失和律师费、诉讼费、仲裁费、保全费、执行费、差旅费等间接损失）。</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13</w:t>
      </w:r>
      <w:r>
        <w:rPr>
          <w:rFonts w:hint="eastAsia" w:ascii="Times New Roman" w:hAnsi="Times New Roman" w:eastAsia="仿宋"/>
          <w:color w:val="auto"/>
          <w:kern w:val="0"/>
          <w:sz w:val="28"/>
          <w:szCs w:val="32"/>
          <w:u w:val="none"/>
          <w:lang w:val="en-US" w:eastAsia="zh-CN"/>
        </w:rPr>
        <w:t xml:space="preserve"> 乙方应对其人员进行质量教育、安全教育和技术培训。乙方应自觉接受</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及有关部门的管理、监督和检查；接受甲方随时检查其设备机具、构配件、材料的保管、使用情况，及其操作人员的有效证件、持证上岗情况。应妥善保管、合理使用甲方供应的材料、设备机具、构配件及其他设施，直至被甲方接收；因保管不善发生丢失、损坏，乙方应进行赔偿。</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.1</w:t>
      </w:r>
      <w:r>
        <w:rPr>
          <w:rFonts w:hint="eastAsia" w:eastAsia="仿宋"/>
          <w:color w:val="auto"/>
          <w:kern w:val="0"/>
          <w:sz w:val="28"/>
          <w:szCs w:val="32"/>
          <w:u w:val="none"/>
          <w:lang w:val="en-US" w:eastAsia="zh-CN"/>
        </w:rPr>
        <w:t>4</w:t>
      </w:r>
      <w:r>
        <w:rPr>
          <w:rFonts w:hint="eastAsia" w:ascii="Times New Roman" w:hAnsi="Times New Roman" w:eastAsia="仿宋"/>
          <w:color w:val="auto"/>
          <w:kern w:val="0"/>
          <w:sz w:val="28"/>
          <w:szCs w:val="32"/>
          <w:u w:val="none"/>
          <w:lang w:val="en-US" w:eastAsia="zh-CN"/>
        </w:rPr>
        <w:t xml:space="preserve"> 乙方负责劳务分包范围内施工场地及其周边环境与生态的保护工作，自觉遵守行政主管部门、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、甲方关于环境保护的要求和规定。乙方应按甲方统一规划堆放材料、机具，按甲方标准化工地要求设置标牌，搞好生活区的管理，做好自身责任区的治安保卫工作。</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对合同内分期完成的成品和半成品，在完工日前或未被甲方接收前，乙方应承担保护责任。</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乙方应配合甲方按</w:t>
      </w:r>
      <w:r>
        <w:rPr>
          <w:rFonts w:hint="eastAsia" w:eastAsia="仿宋"/>
          <w:color w:val="auto"/>
          <w:kern w:val="0"/>
          <w:sz w:val="28"/>
          <w:szCs w:val="32"/>
          <w:lang w:val="en-US" w:eastAsia="zh-CN"/>
        </w:rPr>
        <w:t>业主</w:t>
      </w:r>
      <w:r>
        <w:rPr>
          <w:rFonts w:hint="eastAsia" w:ascii="Times New Roman" w:hAnsi="Times New Roman" w:eastAsia="仿宋"/>
          <w:color w:val="auto"/>
          <w:kern w:val="0"/>
          <w:sz w:val="28"/>
          <w:szCs w:val="32"/>
          <w:lang w:val="en-US" w:eastAsia="zh-CN"/>
        </w:rPr>
        <w:t>或行政主管部门要求进行的涉及乙方工作内容、施工场地的检查；配合甲方对隐蔽工程的验收工作。甲方或施工场地内第三方的工作必须由乙方配合时，乙方应按甲方的指令予以配合，相应的费用由乙方</w:t>
      </w:r>
      <w:r>
        <w:rPr>
          <w:rFonts w:hint="eastAsia" w:eastAsia="仿宋"/>
          <w:color w:val="auto"/>
          <w:kern w:val="0"/>
          <w:sz w:val="28"/>
          <w:szCs w:val="32"/>
          <w:lang w:val="en-US" w:eastAsia="zh-CN"/>
        </w:rPr>
        <w:t>自行承担</w:t>
      </w:r>
      <w:r>
        <w:rPr>
          <w:rFonts w:hint="eastAsia" w:ascii="Times New Roman" w:hAnsi="Times New Roman" w:eastAsia="仿宋"/>
          <w:color w:val="auto"/>
          <w:kern w:val="0"/>
          <w:sz w:val="28"/>
          <w:szCs w:val="32"/>
          <w:lang w:val="en-US"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乙方在劳务作业中发现古墓、古建筑遗址、文物、化石或其他有考古、地质研究价值的物品时，应立即保护好现场并以书面形式通知甲方。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乙方作业完毕，应及时通知甲方验收；按甲方要求提交完整的资料，配合甲方办理交工验收。</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在</w:t>
      </w:r>
      <w:r>
        <w:rPr>
          <w:rFonts w:hint="eastAsia" w:eastAsia="仿宋"/>
          <w:color w:val="auto"/>
          <w:kern w:val="0"/>
          <w:sz w:val="28"/>
          <w:szCs w:val="32"/>
          <w:lang w:val="en-US" w:eastAsia="zh-CN"/>
        </w:rPr>
        <w:t>项目竣工验收</w:t>
      </w:r>
      <w:r>
        <w:rPr>
          <w:rFonts w:hint="eastAsia" w:ascii="Times New Roman" w:hAnsi="Times New Roman" w:eastAsia="仿宋"/>
          <w:color w:val="auto"/>
          <w:kern w:val="0"/>
          <w:sz w:val="28"/>
          <w:szCs w:val="32"/>
          <w:lang w:val="en-US" w:eastAsia="zh-CN"/>
        </w:rPr>
        <w:t>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20</w:t>
      </w:r>
      <w:r>
        <w:rPr>
          <w:rFonts w:hint="eastAsia" w:ascii="Times New Roman" w:hAnsi="Times New Roman" w:eastAsia="仿宋"/>
          <w:color w:val="auto"/>
          <w:kern w:val="0"/>
          <w:sz w:val="28"/>
          <w:szCs w:val="32"/>
          <w:lang w:val="en-US" w:eastAsia="zh-CN"/>
        </w:rPr>
        <w:t xml:space="preserve"> 全部</w:t>
      </w:r>
      <w:r>
        <w:rPr>
          <w:rFonts w:hint="eastAsia" w:eastAsia="仿宋"/>
          <w:color w:val="auto"/>
          <w:kern w:val="0"/>
          <w:sz w:val="28"/>
          <w:szCs w:val="32"/>
          <w:lang w:val="en-US" w:eastAsia="zh-CN"/>
        </w:rPr>
        <w:t>施工</w:t>
      </w:r>
      <w:r>
        <w:rPr>
          <w:rFonts w:hint="eastAsia" w:ascii="Times New Roman" w:hAnsi="Times New Roman" w:eastAsia="仿宋"/>
          <w:color w:val="auto"/>
          <w:kern w:val="0"/>
          <w:sz w:val="28"/>
          <w:szCs w:val="32"/>
          <w:lang w:val="en-US" w:eastAsia="zh-CN"/>
        </w:rPr>
        <w:t>作业内容经验收合格后三日内，乙方应当将劳务成果交付给甲方，不得以双方存在争议为理由拒绝交付或延期交付。</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10.21 乙方应按合同约定及时向甲方提供真实、合法的增值税发票。</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eastAsia="仿宋"/>
          <w:color w:val="auto"/>
          <w:kern w:val="0"/>
          <w:sz w:val="28"/>
          <w:szCs w:val="32"/>
          <w:u w:val="single"/>
          <w:lang w:val="en-US" w:eastAsia="zh-CN"/>
        </w:rPr>
      </w:pPr>
      <w:r>
        <w:rPr>
          <w:rFonts w:hint="eastAsia" w:eastAsia="仿宋"/>
          <w:color w:val="auto"/>
          <w:kern w:val="0"/>
          <w:sz w:val="28"/>
          <w:szCs w:val="32"/>
          <w:lang w:val="en-US" w:eastAsia="zh-CN"/>
        </w:rPr>
        <w:t>10.22 乙方需对“重庆市建筑科学研究院有限公司江南分中心实验室搬迁项目”整体竣工资料进行收集、汇总、编制及移交，</w:t>
      </w:r>
      <w:r>
        <w:rPr>
          <w:rFonts w:hint="eastAsia" w:eastAsia="仿宋"/>
          <w:color w:val="auto"/>
          <w:kern w:val="0"/>
          <w:sz w:val="28"/>
          <w:szCs w:val="32"/>
          <w:u w:val="single"/>
          <w:lang w:val="en-US" w:eastAsia="zh-CN"/>
        </w:rPr>
        <w:t>资料的内容包括但不限于工程施工技术资料、工程质量保证资料、工程检验评定资料、竣工图及其他应交资料，应符合《建设工程文件归档整理规范》（GB/T50328-2014）和项目所在地行政主管部门有关文件规定。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39" w:name="_Toc16471"/>
      <w:bookmarkStart w:id="840" w:name="_Toc12072"/>
      <w:bookmarkStart w:id="841" w:name="_Toc23263"/>
      <w:bookmarkStart w:id="842" w:name="_Toc21863"/>
      <w:bookmarkStart w:id="843" w:name="_Toc12751"/>
      <w:r>
        <w:rPr>
          <w:rFonts w:hint="eastAsia" w:ascii="Times New Roman" w:hAnsi="Times New Roman" w:eastAsia="黑体"/>
          <w:b w:val="0"/>
          <w:color w:val="auto"/>
          <w:sz w:val="28"/>
          <w:szCs w:val="32"/>
          <w:lang w:val="en-US" w:eastAsia="zh-CN"/>
        </w:rPr>
        <w:t>第十一条 甲方的违约责任</w:t>
      </w:r>
      <w:bookmarkEnd w:id="839"/>
      <w:bookmarkEnd w:id="840"/>
      <w:bookmarkEnd w:id="841"/>
      <w:bookmarkEnd w:id="842"/>
      <w:bookmarkEnd w:id="843"/>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 xml:space="preserve"> 因甲方原因未能按合同</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.3约定及时向乙方提供基础资料、施工场地和施工条件或未及时通知乙方，影响工期的，合同约定的工期相应顺延。</w:t>
      </w:r>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sz w:val="28"/>
          <w:szCs w:val="30"/>
          <w:u w:val="single"/>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原因造成工程质量未达到合同约定标准的，由</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3</w:t>
      </w:r>
      <w:r>
        <w:rPr>
          <w:rFonts w:hint="eastAsia" w:ascii="Times New Roman" w:hAnsi="Times New Roman" w:eastAsia="仿宋"/>
          <w:color w:val="auto"/>
          <w:sz w:val="28"/>
          <w:szCs w:val="30"/>
          <w:u w:val="none"/>
          <w:lang w:val="en-US" w:eastAsia="zh-CN"/>
        </w:rPr>
        <w:t xml:space="preserve"> 甲方逾期支付合同价款的，逾期一日应向乙方支付</w:t>
      </w:r>
      <w:r>
        <w:rPr>
          <w:rFonts w:hint="eastAsia" w:ascii="Times New Roman" w:hAnsi="Times New Roman" w:eastAsia="仿宋"/>
          <w:color w:val="auto"/>
          <w:sz w:val="28"/>
          <w:szCs w:val="30"/>
          <w:u w:val="single"/>
          <w:lang w:val="en-US" w:eastAsia="zh-CN"/>
        </w:rPr>
        <w:t>应付款项的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44" w:name="_Toc7824"/>
      <w:bookmarkStart w:id="845" w:name="_Toc3280"/>
      <w:bookmarkStart w:id="846" w:name="_Toc26482"/>
      <w:bookmarkStart w:id="847" w:name="_Toc22637"/>
      <w:bookmarkStart w:id="848" w:name="_Toc17025"/>
      <w:r>
        <w:rPr>
          <w:rFonts w:hint="eastAsia" w:ascii="Times New Roman" w:hAnsi="Times New Roman" w:eastAsia="黑体"/>
          <w:b w:val="0"/>
          <w:color w:val="auto"/>
          <w:sz w:val="28"/>
          <w:szCs w:val="32"/>
          <w:lang w:val="en-US" w:eastAsia="zh-CN"/>
        </w:rPr>
        <w:t>第十二条 乙方的违约责任</w:t>
      </w:r>
      <w:bookmarkEnd w:id="844"/>
      <w:bookmarkEnd w:id="845"/>
      <w:bookmarkEnd w:id="846"/>
      <w:bookmarkEnd w:id="847"/>
      <w:bookmarkEnd w:id="848"/>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default" w:ascii="Times New Roman" w:hAnsi="Times New Roman" w:eastAsia="仿宋"/>
          <w:color w:val="auto"/>
          <w:kern w:val="0"/>
          <w:sz w:val="28"/>
          <w:szCs w:val="32"/>
          <w:u w:val="none"/>
          <w:lang w:val="en-US"/>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.1 </w:t>
      </w:r>
      <w:r>
        <w:rPr>
          <w:rFonts w:hint="eastAsia" w:ascii="Times New Roman" w:hAnsi="Times New Roman" w:eastAsia="仿宋"/>
          <w:color w:val="auto"/>
          <w:kern w:val="0"/>
          <w:sz w:val="28"/>
          <w:szCs w:val="32"/>
          <w:lang w:val="en-US" w:eastAsia="zh-CN"/>
        </w:rPr>
        <w:t>乙方委派的人员不符合合同约定或强制性规定的，甲方有权要求更换，</w:t>
      </w:r>
      <w:r>
        <w:rPr>
          <w:rFonts w:ascii="Times New Roman" w:hAnsi="Times New Roman" w:eastAsia="仿宋"/>
          <w:color w:val="auto"/>
          <w:kern w:val="0"/>
          <w:sz w:val="28"/>
          <w:szCs w:val="32"/>
        </w:rPr>
        <w:t>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w:t>
      </w:r>
      <w:r>
        <w:rPr>
          <w:rFonts w:hint="eastAsia" w:ascii="Times New Roman" w:hAnsi="Times New Roman" w:eastAsia="仿宋"/>
          <w:color w:val="auto"/>
          <w:kern w:val="0"/>
          <w:sz w:val="28"/>
          <w:szCs w:val="32"/>
          <w:u w:val="none"/>
          <w:lang w:val="en-US" w:eastAsia="zh-CN"/>
        </w:rPr>
        <w:t>乙方</w:t>
      </w:r>
      <w:r>
        <w:rPr>
          <w:rFonts w:ascii="Times New Roman" w:hAnsi="Times New Roman" w:eastAsia="仿宋"/>
          <w:color w:val="auto"/>
          <w:kern w:val="0"/>
          <w:sz w:val="28"/>
          <w:szCs w:val="32"/>
          <w:u w:val="none"/>
        </w:rPr>
        <w:t>无正当理由拒绝更换</w:t>
      </w:r>
      <w:r>
        <w:rPr>
          <w:rFonts w:hint="eastAsia" w:ascii="Times New Roman" w:hAnsi="Times New Roman" w:eastAsia="仿宋"/>
          <w:color w:val="auto"/>
          <w:kern w:val="0"/>
          <w:sz w:val="28"/>
          <w:szCs w:val="32"/>
          <w:u w:val="none"/>
          <w:lang w:val="en-US" w:eastAsia="zh-CN"/>
        </w:rPr>
        <w:t>前述人员</w:t>
      </w:r>
      <w:r>
        <w:rPr>
          <w:rFonts w:ascii="Times New Roman" w:hAnsi="Times New Roman" w:eastAsia="仿宋"/>
          <w:color w:val="auto"/>
          <w:kern w:val="0"/>
          <w:sz w:val="28"/>
          <w:szCs w:val="32"/>
          <w:u w:val="none"/>
        </w:rPr>
        <w:t>的，</w:t>
      </w:r>
      <w:r>
        <w:rPr>
          <w:rFonts w:hint="eastAsia" w:ascii="Times New Roman" w:hAnsi="Times New Roman" w:eastAsia="仿宋"/>
          <w:color w:val="auto"/>
          <w:kern w:val="0"/>
          <w:sz w:val="28"/>
          <w:szCs w:val="32"/>
          <w:u w:val="none"/>
          <w:lang w:val="en-US" w:eastAsia="zh-CN"/>
        </w:rPr>
        <w:t>每拒绝更换一人次向甲方支付违约金</w:t>
      </w:r>
      <w:r>
        <w:rPr>
          <w:rFonts w:hint="eastAsia" w:eastAsia="仿宋"/>
          <w:color w:val="auto"/>
          <w:kern w:val="0"/>
          <w:sz w:val="28"/>
          <w:szCs w:val="32"/>
          <w:u w:val="single"/>
          <w:lang w:val="en-US" w:eastAsia="zh-CN"/>
        </w:rPr>
        <w:t>2000</w:t>
      </w:r>
      <w:r>
        <w:rPr>
          <w:rFonts w:hint="eastAsia" w:ascii="Times New Roman" w:hAnsi="Times New Roman" w:eastAsia="仿宋"/>
          <w:color w:val="auto"/>
          <w:kern w:val="0"/>
          <w:sz w:val="28"/>
          <w:szCs w:val="32"/>
          <w:u w:val="none"/>
          <w:lang w:val="en-US" w:eastAsia="zh-CN"/>
        </w:rPr>
        <w:t>元；拒绝更换</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人次以上的，甲方有权解除合同，且有权向乙方主张包括但不限于重新选择劳务分包人产生的费用和延误工期造成的损失。</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w:t>
      </w:r>
      <w:r>
        <w:rPr>
          <w:rFonts w:hint="eastAsia" w:ascii="Times New Roman" w:hAnsi="Times New Roman" w:eastAsia="仿宋"/>
          <w:color w:val="auto"/>
          <w:kern w:val="0"/>
          <w:sz w:val="28"/>
          <w:szCs w:val="32"/>
          <w:lang w:val="en-US" w:eastAsia="zh-CN"/>
        </w:rPr>
        <w:t>负责照管的</w:t>
      </w:r>
      <w:r>
        <w:rPr>
          <w:rFonts w:ascii="Times New Roman" w:hAnsi="Times New Roman" w:eastAsia="仿宋"/>
          <w:color w:val="auto"/>
          <w:kern w:val="0"/>
          <w:sz w:val="28"/>
          <w:szCs w:val="32"/>
        </w:rPr>
        <w:t>工程、材料、设备</w:t>
      </w:r>
      <w:r>
        <w:rPr>
          <w:rFonts w:hint="eastAsia" w:ascii="Times New Roman" w:hAnsi="Times New Roman" w:eastAsia="仿宋"/>
          <w:color w:val="auto"/>
          <w:kern w:val="0"/>
          <w:sz w:val="28"/>
          <w:szCs w:val="32"/>
          <w:lang w:val="en-US" w:eastAsia="zh-CN"/>
        </w:rPr>
        <w:t>机具及构配件</w:t>
      </w:r>
      <w:r>
        <w:rPr>
          <w:rFonts w:ascii="Times New Roman" w:hAnsi="Times New Roman" w:eastAsia="仿宋"/>
          <w:color w:val="auto"/>
          <w:kern w:val="0"/>
          <w:sz w:val="28"/>
          <w:szCs w:val="32"/>
        </w:rPr>
        <w:t>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3</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原因造成成品或半成品损坏的，由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乙方拖欠农民工工资的，甲方有权从任意一期或几期合同价款中直接扣除用于支付农民工工资，乙方不得因此向甲方主张任何违约责任。</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原因造成工程质量</w:t>
      </w:r>
      <w:r>
        <w:rPr>
          <w:rFonts w:hint="eastAsia" w:ascii="Times New Roman" w:hAnsi="Times New Roman" w:eastAsia="仿宋"/>
          <w:color w:val="auto"/>
          <w:kern w:val="0"/>
          <w:sz w:val="28"/>
          <w:szCs w:val="32"/>
          <w:lang w:val="en-US" w:eastAsia="zh-CN"/>
        </w:rPr>
        <w:t>部分或全部</w:t>
      </w:r>
      <w:r>
        <w:rPr>
          <w:rFonts w:ascii="Times New Roman" w:hAnsi="Times New Roman" w:eastAsia="仿宋"/>
          <w:color w:val="auto"/>
          <w:kern w:val="0"/>
          <w:sz w:val="28"/>
          <w:szCs w:val="32"/>
        </w:rPr>
        <w:t>未达到合同约定标准的，</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有权要求</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返工直至工程质量达到合同约定的标准为止，并由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w:t>
      </w:r>
      <w:r>
        <w:rPr>
          <w:rFonts w:hint="default" w:ascii="Times New Roman" w:hAnsi="Times New Roman" w:eastAsia="仿宋"/>
          <w:color w:val="auto"/>
          <w:kern w:val="0"/>
          <w:sz w:val="28"/>
          <w:szCs w:val="32"/>
          <w:lang w:val="en-US" w:eastAsia="zh-CN"/>
        </w:rPr>
        <w:t>乙方进入现场的人员必须进行安全教育，施工中发生的一切工伤、安全事故与甲方无关，由乙方负责并承担其相应的经济和法律责任。</w:t>
      </w:r>
      <w:r>
        <w:rPr>
          <w:rFonts w:hint="eastAsia" w:ascii="Times New Roman" w:hAnsi="Times New Roman" w:eastAsia="仿宋"/>
          <w:color w:val="auto"/>
          <w:kern w:val="0"/>
          <w:sz w:val="28"/>
          <w:szCs w:val="32"/>
          <w:lang w:val="en-US" w:eastAsia="zh-CN"/>
        </w:rPr>
        <w:t>且应根据事故等级分别向甲方承担违约金</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10000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p>
    <w:p>
      <w:pPr>
        <w:pageBreakBefore w:val="0"/>
        <w:kinsoku/>
        <w:overflowPunct/>
        <w:topLinePunct w:val="0"/>
        <w:bidi w:val="0"/>
        <w:spacing w:line="360" w:lineRule="auto"/>
        <w:ind w:firstLine="560"/>
        <w:rPr>
          <w:rFonts w:hint="default" w:ascii="Times New Roman" w:hAnsi="Times New Roman" w:eastAsia="仿宋" w:cs="Times New Roman"/>
          <w:color w:val="auto"/>
          <w:kern w:val="0"/>
          <w:sz w:val="28"/>
          <w:szCs w:val="32"/>
          <w:lang w:val="en-US" w:eastAsia="zh-CN" w:bidi="ar-SA"/>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s="Times New Roman"/>
          <w:color w:val="auto"/>
          <w:kern w:val="0"/>
          <w:sz w:val="28"/>
          <w:szCs w:val="32"/>
          <w:lang w:val="en-US" w:eastAsia="zh-CN" w:bidi="ar-SA"/>
        </w:rPr>
        <w:t>.</w:t>
      </w:r>
      <w:r>
        <w:rPr>
          <w:rFonts w:hint="eastAsia" w:eastAsia="仿宋" w:cs="Times New Roman"/>
          <w:color w:val="auto"/>
          <w:kern w:val="0"/>
          <w:sz w:val="28"/>
          <w:szCs w:val="32"/>
          <w:lang w:val="en-US" w:eastAsia="zh-CN" w:bidi="ar-SA"/>
        </w:rPr>
        <w:t>7</w:t>
      </w:r>
      <w:r>
        <w:rPr>
          <w:rFonts w:hint="eastAsia" w:ascii="Times New Roman" w:hAnsi="Times New Roman" w:eastAsia="仿宋" w:cs="Times New Roman"/>
          <w:color w:val="auto"/>
          <w:kern w:val="0"/>
          <w:sz w:val="28"/>
          <w:szCs w:val="32"/>
          <w:lang w:val="en-US" w:eastAsia="zh-CN" w:bidi="ar-SA"/>
        </w:rPr>
        <w:t xml:space="preserve"> </w:t>
      </w:r>
      <w:r>
        <w:rPr>
          <w:rFonts w:hint="default" w:ascii="Times New Roman" w:hAnsi="Times New Roman" w:eastAsia="仿宋" w:cs="Times New Roman"/>
          <w:color w:val="auto"/>
          <w:kern w:val="0"/>
          <w:sz w:val="28"/>
          <w:szCs w:val="32"/>
          <w:lang w:val="en-US" w:eastAsia="zh-CN" w:bidi="ar-SA"/>
        </w:rPr>
        <w:t>乙方逾期完成合同约定工作内容或无法满足工程进度、质量、资质等要求时，甲方另行委托其他单位代为施工时，以甲方与其他施工单位的结算依据作为扣款依据，此外甲方不承担任何费用。</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8</w:t>
      </w:r>
      <w:r>
        <w:rPr>
          <w:rFonts w:hint="eastAsia" w:ascii="Times New Roman" w:hAnsi="Times New Roman" w:eastAsia="仿宋"/>
          <w:color w:val="auto"/>
          <w:kern w:val="0"/>
          <w:sz w:val="28"/>
          <w:szCs w:val="32"/>
          <w:u w:val="none"/>
          <w:lang w:val="en-US" w:eastAsia="zh-CN"/>
        </w:rPr>
        <w:t xml:space="preserve"> 乙方未按合同约定及时向甲方提供足额发票的，甲方可延期支付相应合同款项并不被视为逾期付款。</w:t>
      </w:r>
    </w:p>
    <w:p>
      <w:pPr>
        <w:pStyle w:val="12"/>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eastAsia="仿宋"/>
          <w:color w:val="auto"/>
          <w:kern w:val="0"/>
          <w:sz w:val="28"/>
          <w:szCs w:val="32"/>
          <w:u w:val="none"/>
          <w:lang w:val="en-US" w:eastAsia="zh-CN"/>
        </w:rPr>
        <w:t>12.9 因乙</w:t>
      </w:r>
      <w:r>
        <w:rPr>
          <w:rFonts w:hint="eastAsia" w:ascii="Times New Roman" w:hAnsi="Times New Roman" w:eastAsia="仿宋"/>
          <w:color w:val="auto"/>
          <w:sz w:val="28"/>
          <w:szCs w:val="30"/>
          <w:u w:val="none"/>
          <w:lang w:val="en-US" w:eastAsia="zh-CN"/>
        </w:rPr>
        <w:t>方</w:t>
      </w:r>
      <w:r>
        <w:rPr>
          <w:rFonts w:hint="eastAsia" w:eastAsia="仿宋"/>
          <w:color w:val="auto"/>
          <w:sz w:val="28"/>
          <w:szCs w:val="30"/>
          <w:u w:val="none"/>
          <w:lang w:val="en-US" w:eastAsia="zh-CN"/>
        </w:rPr>
        <w:t>原因导致</w:t>
      </w:r>
      <w:r>
        <w:rPr>
          <w:rFonts w:hint="eastAsia" w:ascii="Times New Roman" w:hAnsi="Times New Roman" w:eastAsia="仿宋"/>
          <w:color w:val="auto"/>
          <w:sz w:val="28"/>
          <w:szCs w:val="30"/>
          <w:u w:val="none"/>
          <w:lang w:val="en-US" w:eastAsia="zh-CN"/>
        </w:rPr>
        <w:t>逾期</w:t>
      </w:r>
      <w:r>
        <w:rPr>
          <w:rFonts w:hint="eastAsia" w:eastAsia="仿宋"/>
          <w:color w:val="auto"/>
          <w:sz w:val="28"/>
          <w:szCs w:val="30"/>
          <w:u w:val="none"/>
          <w:lang w:val="en-US" w:eastAsia="zh-CN"/>
        </w:rPr>
        <w:t>完工</w:t>
      </w:r>
      <w:r>
        <w:rPr>
          <w:rFonts w:hint="eastAsia" w:ascii="Times New Roman" w:hAnsi="Times New Roman" w:eastAsia="仿宋"/>
          <w:color w:val="auto"/>
          <w:sz w:val="28"/>
          <w:szCs w:val="30"/>
          <w:u w:val="none"/>
          <w:lang w:val="en-US" w:eastAsia="zh-CN"/>
        </w:rPr>
        <w:t>的，逾期一日应向</w:t>
      </w:r>
      <w:r>
        <w:rPr>
          <w:rFonts w:hint="eastAsia" w:eastAsia="仿宋"/>
          <w:color w:val="auto"/>
          <w:sz w:val="28"/>
          <w:szCs w:val="30"/>
          <w:u w:val="none"/>
          <w:lang w:val="en-US" w:eastAsia="zh-CN"/>
        </w:rPr>
        <w:t>甲</w:t>
      </w:r>
      <w:r>
        <w:rPr>
          <w:rFonts w:hint="eastAsia" w:ascii="Times New Roman" w:hAnsi="Times New Roman" w:eastAsia="仿宋"/>
          <w:color w:val="auto"/>
          <w:sz w:val="28"/>
          <w:szCs w:val="30"/>
          <w:u w:val="none"/>
          <w:lang w:val="en-US" w:eastAsia="zh-CN"/>
        </w:rPr>
        <w:t>方支付</w:t>
      </w:r>
      <w:r>
        <w:rPr>
          <w:rFonts w:hint="eastAsia" w:eastAsia="仿宋"/>
          <w:color w:val="auto"/>
          <w:sz w:val="28"/>
          <w:szCs w:val="30"/>
          <w:u w:val="single"/>
          <w:lang w:val="en-US" w:eastAsia="zh-CN"/>
        </w:rPr>
        <w:t>合同金额</w:t>
      </w:r>
      <w:r>
        <w:rPr>
          <w:rFonts w:hint="eastAsia" w:ascii="Times New Roman" w:hAnsi="Times New Roman" w:eastAsia="仿宋"/>
          <w:color w:val="auto"/>
          <w:sz w:val="28"/>
          <w:szCs w:val="30"/>
          <w:u w:val="single"/>
          <w:lang w:val="en-US" w:eastAsia="zh-CN"/>
        </w:rPr>
        <w:t>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仿宋"/>
          <w:color w:val="auto"/>
          <w:kern w:val="0"/>
          <w:sz w:val="28"/>
          <w:szCs w:val="32"/>
          <w:u w:val="none"/>
          <w:lang w:val="en-US" w:eastAsia="zh-CN"/>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849" w:name="_Toc28636"/>
      <w:bookmarkStart w:id="850" w:name="_Toc10253"/>
      <w:bookmarkStart w:id="851" w:name="_Toc28510"/>
      <w:bookmarkStart w:id="852" w:name="_Toc3045"/>
      <w:bookmarkStart w:id="853" w:name="_Toc9464"/>
      <w:r>
        <w:rPr>
          <w:rFonts w:hint="eastAsia" w:ascii="Times New Roman" w:hAnsi="Times New Roman" w:eastAsia="黑体"/>
          <w:b w:val="0"/>
          <w:color w:val="auto"/>
          <w:sz w:val="28"/>
          <w:szCs w:val="32"/>
          <w:u w:val="none"/>
          <w:lang w:val="en-US" w:eastAsia="zh-CN"/>
        </w:rPr>
        <w:t>第十三条 履约担保</w:t>
      </w:r>
      <w:bookmarkEnd w:id="849"/>
      <w:bookmarkEnd w:id="850"/>
      <w:bookmarkEnd w:id="851"/>
      <w:bookmarkEnd w:id="852"/>
      <w:bookmarkEnd w:id="853"/>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13.1 乙方须</w:t>
      </w:r>
      <w:r>
        <w:rPr>
          <w:rFonts w:hint="eastAsia" w:ascii="Times New Roman" w:hAnsi="Times New Roman" w:eastAsia="仿宋"/>
          <w:color w:val="auto"/>
          <w:sz w:val="28"/>
          <w:szCs w:val="30"/>
          <w:u w:val="none"/>
          <w:lang w:val="en-US" w:eastAsia="zh-CN"/>
        </w:rPr>
        <w:t>提供履约担保</w:t>
      </w:r>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13.2 乙方</w:t>
      </w:r>
      <w:r>
        <w:rPr>
          <w:rFonts w:hint="eastAsia" w:ascii="Times New Roman" w:hAnsi="Times New Roman" w:eastAsia="仿宋"/>
          <w:color w:val="auto"/>
          <w:sz w:val="28"/>
          <w:szCs w:val="30"/>
          <w:u w:val="none"/>
          <w:lang w:val="en-US" w:eastAsia="zh-CN"/>
        </w:rPr>
        <w:t>提供履约担保的形式、金额及期限：</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13.2.1 </w:t>
      </w:r>
      <w:r>
        <w:rPr>
          <w:rFonts w:hint="eastAsia" w:ascii="Times New Roman" w:hAnsi="Times New Roman" w:eastAsia="仿宋"/>
          <w:color w:val="auto"/>
          <w:sz w:val="28"/>
          <w:szCs w:val="30"/>
          <w:u w:val="none"/>
          <w:lang w:val="en-US" w:eastAsia="zh-CN"/>
        </w:rPr>
        <w:t>履约担保的形式：现金或现金+银行保函的组合；采用银行保函形式的，保函必须为不可撤销且见索即付。</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13.2.2 </w:t>
      </w:r>
      <w:r>
        <w:rPr>
          <w:rFonts w:hint="eastAsia" w:ascii="Times New Roman" w:hAnsi="Times New Roman" w:eastAsia="仿宋"/>
          <w:color w:val="auto"/>
          <w:sz w:val="28"/>
          <w:szCs w:val="30"/>
          <w:u w:val="none"/>
          <w:lang w:val="en-US" w:eastAsia="zh-CN"/>
        </w:rPr>
        <w:t>履约担保的金额</w:t>
      </w:r>
      <w:r>
        <w:rPr>
          <w:rFonts w:hint="eastAsia" w:eastAsia="仿宋"/>
          <w:color w:val="auto"/>
          <w:sz w:val="28"/>
          <w:szCs w:val="30"/>
          <w:u w:val="none"/>
          <w:lang w:val="en-US" w:eastAsia="zh-CN"/>
        </w:rPr>
        <w:t>为（人民币）</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元（大写：</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13.2.3 </w:t>
      </w:r>
      <w:r>
        <w:rPr>
          <w:rFonts w:hint="eastAsia" w:ascii="Times New Roman" w:hAnsi="Times New Roman" w:eastAsia="仿宋"/>
          <w:color w:val="auto"/>
          <w:sz w:val="28"/>
          <w:szCs w:val="30"/>
          <w:u w:val="none"/>
          <w:lang w:val="en-US" w:eastAsia="zh-CN"/>
        </w:rPr>
        <w:t>履约担保的提交时间：</w:t>
      </w:r>
      <w:r>
        <w:rPr>
          <w:rFonts w:hint="eastAsia" w:eastAsia="仿宋"/>
          <w:color w:val="auto"/>
          <w:sz w:val="28"/>
          <w:szCs w:val="30"/>
          <w:u w:val="none"/>
          <w:lang w:val="en-US" w:eastAsia="zh-CN"/>
        </w:rPr>
        <w:t>在合同订立前</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乙方按担保金额向甲方提交履约担保</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13.2.4 </w:t>
      </w:r>
      <w:r>
        <w:rPr>
          <w:rFonts w:hint="eastAsia" w:ascii="Times New Roman" w:hAnsi="Times New Roman" w:eastAsia="仿宋"/>
          <w:color w:val="auto"/>
          <w:sz w:val="28"/>
          <w:szCs w:val="30"/>
          <w:u w:val="none"/>
          <w:lang w:val="en-US" w:eastAsia="zh-CN"/>
        </w:rPr>
        <w:t>履约担保的期限：至提交履约保证金之日起至整体竣工验收合格之日止。</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13.2.5 </w:t>
      </w:r>
      <w:r>
        <w:rPr>
          <w:rFonts w:hint="eastAsia" w:ascii="Times New Roman" w:hAnsi="Times New Roman" w:eastAsia="仿宋"/>
          <w:color w:val="auto"/>
          <w:sz w:val="28"/>
          <w:szCs w:val="30"/>
          <w:u w:val="none"/>
          <w:lang w:val="en-US" w:eastAsia="zh-CN"/>
        </w:rPr>
        <w:t>履约担保的退还时间：工程竣工验收合格后15个工作日内一次性予以无息退还。</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854" w:name="_Toc11943"/>
      <w:bookmarkStart w:id="855" w:name="_Toc7798"/>
      <w:bookmarkStart w:id="856" w:name="_Toc24191"/>
      <w:bookmarkStart w:id="857" w:name="_Toc24884"/>
      <w:bookmarkStart w:id="858" w:name="_Toc2920"/>
      <w:r>
        <w:rPr>
          <w:rFonts w:hint="eastAsia" w:ascii="Times New Roman" w:hAnsi="Times New Roman" w:eastAsia="黑体"/>
          <w:b w:val="0"/>
          <w:color w:val="auto"/>
          <w:sz w:val="28"/>
          <w:szCs w:val="32"/>
          <w:u w:val="none"/>
          <w:lang w:val="en-US" w:eastAsia="zh-CN"/>
        </w:rPr>
        <w:t>第十四条 支付方式及结算原则</w:t>
      </w:r>
      <w:bookmarkEnd w:id="854"/>
      <w:bookmarkEnd w:id="855"/>
      <w:bookmarkEnd w:id="856"/>
      <w:bookmarkEnd w:id="857"/>
      <w:bookmarkEnd w:id="85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kern w:val="0"/>
          <w:sz w:val="30"/>
          <w:szCs w:val="32"/>
          <w:u w:val="none"/>
          <w:lang w:val="en-US" w:eastAsia="zh-CN"/>
        </w:rPr>
      </w:pPr>
      <w:bookmarkStart w:id="859" w:name="_Toc16158"/>
      <w:r>
        <w:rPr>
          <w:rFonts w:hint="eastAsia" w:eastAsia="仿宋_GB2312"/>
          <w:color w:val="auto"/>
          <w:kern w:val="0"/>
          <w:sz w:val="28"/>
          <w:szCs w:val="32"/>
          <w:u w:val="none"/>
          <w:lang w:val="en-US" w:eastAsia="zh-CN"/>
        </w:rPr>
        <w:t>14</w:t>
      </w:r>
      <w:r>
        <w:rPr>
          <w:rFonts w:hint="eastAsia" w:ascii="Times New Roman" w:hAnsi="Times New Roman" w:eastAsia="仿宋_GB2312"/>
          <w:color w:val="auto"/>
          <w:kern w:val="0"/>
          <w:sz w:val="28"/>
          <w:szCs w:val="32"/>
          <w:u w:val="none"/>
          <w:lang w:val="en-US" w:eastAsia="zh-CN"/>
        </w:rPr>
        <w:t>.</w:t>
      </w:r>
      <w:r>
        <w:rPr>
          <w:rFonts w:hint="eastAsia" w:eastAsia="仿宋_GB2312"/>
          <w:color w:val="auto"/>
          <w:kern w:val="0"/>
          <w:sz w:val="28"/>
          <w:szCs w:val="32"/>
          <w:u w:val="none"/>
          <w:lang w:val="en-US" w:eastAsia="zh-CN"/>
        </w:rPr>
        <w:t>1</w:t>
      </w:r>
      <w:r>
        <w:rPr>
          <w:rFonts w:hint="eastAsia" w:ascii="Times New Roman" w:hAnsi="Times New Roman" w:eastAsia="仿宋_GB2312"/>
          <w:color w:val="auto"/>
          <w:kern w:val="0"/>
          <w:sz w:val="28"/>
          <w:szCs w:val="32"/>
          <w:u w:val="none"/>
          <w:lang w:val="en-US" w:eastAsia="zh-CN"/>
        </w:rPr>
        <w:t xml:space="preserve"> </w:t>
      </w:r>
      <w:r>
        <w:rPr>
          <w:rFonts w:hint="eastAsia" w:eastAsia="仿宋_GB2312"/>
          <w:color w:val="auto"/>
          <w:kern w:val="0"/>
          <w:sz w:val="30"/>
          <w:szCs w:val="32"/>
          <w:u w:val="none"/>
          <w:lang w:val="en-US" w:eastAsia="zh-CN"/>
        </w:rPr>
        <w:t>支付方式</w:t>
      </w:r>
      <w:bookmarkEnd w:id="859"/>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50" w:firstLineChars="250"/>
        <w:textAlignment w:val="baseline"/>
        <w:rPr>
          <w:rFonts w:hint="default"/>
          <w:color w:val="auto"/>
          <w:lang w:val="en-US" w:eastAsia="zh-CN"/>
        </w:rPr>
      </w:pPr>
      <w:r>
        <w:rPr>
          <w:rFonts w:hint="eastAsia" w:eastAsia="仿宋_GB2312"/>
          <w:color w:val="auto"/>
          <w:kern w:val="0"/>
          <w:sz w:val="30"/>
          <w:szCs w:val="32"/>
          <w:lang w:val="en-US" w:eastAsia="zh-CN"/>
        </w:rPr>
        <w:t>14.1.1 无预付款</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50" w:firstLineChars="250"/>
        <w:textAlignment w:val="baseline"/>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14.1.2 按月支付进度款，每月以甲方审核的合格工程量的80%进行支付；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50" w:firstLineChars="250"/>
        <w:textAlignment w:val="baseline"/>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14.1.3 工程完工，完工验收合格后，工程进度款支付的总额不超过合同价的 80%；</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50" w:firstLineChars="250"/>
        <w:textAlignment w:val="baseline"/>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14.1.4 项目整体竣工验收合格后，进行结算办理，办清工程结算后，经第三方审定完成后三十日内支付到审定金额的 97%，留 3%作为质量保修金，工程质量缺陷保修期满后三十日内无息予以支付。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50" w:firstLineChars="250"/>
        <w:textAlignment w:val="baseline"/>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注：以上支付价款包含农民工工资。</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30"/>
          <w:szCs w:val="32"/>
          <w:lang w:val="en-US" w:eastAsia="zh-CN"/>
        </w:rPr>
      </w:pPr>
      <w:r>
        <w:rPr>
          <w:rFonts w:hint="eastAsia" w:eastAsia="仿宋_GB2312"/>
          <w:color w:val="auto"/>
          <w:kern w:val="0"/>
          <w:sz w:val="28"/>
          <w:szCs w:val="32"/>
          <w:u w:val="none"/>
          <w:lang w:val="en-US" w:eastAsia="zh-CN"/>
        </w:rPr>
        <w:t>14.2</w:t>
      </w:r>
      <w:r>
        <w:rPr>
          <w:rFonts w:hint="eastAsia" w:eastAsia="仿宋_GB2312"/>
          <w:color w:val="auto"/>
          <w:kern w:val="0"/>
          <w:sz w:val="30"/>
          <w:szCs w:val="32"/>
          <w:lang w:val="en-US" w:eastAsia="zh-CN"/>
        </w:rPr>
        <w:t xml:space="preserve"> 付款方式：支付资料经甲方审批后，由甲方通过银行转账至乙方账户。</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30"/>
          <w:szCs w:val="32"/>
          <w:lang w:val="en-US" w:eastAsia="zh-CN"/>
        </w:rPr>
      </w:pPr>
      <w:r>
        <w:rPr>
          <w:rFonts w:hint="eastAsia" w:eastAsia="仿宋_GB2312"/>
          <w:color w:val="auto"/>
          <w:kern w:val="0"/>
          <w:sz w:val="30"/>
          <w:szCs w:val="32"/>
          <w:lang w:val="en-US" w:eastAsia="zh-CN"/>
        </w:rPr>
        <w:t>账 户：</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30"/>
          <w:szCs w:val="32"/>
          <w:lang w:val="en-US" w:eastAsia="zh-CN"/>
        </w:rPr>
      </w:pPr>
      <w:r>
        <w:rPr>
          <w:rFonts w:hint="eastAsia" w:eastAsia="仿宋_GB2312"/>
          <w:color w:val="auto"/>
          <w:kern w:val="0"/>
          <w:sz w:val="30"/>
          <w:szCs w:val="32"/>
          <w:lang w:val="en-US" w:eastAsia="zh-CN"/>
        </w:rPr>
        <w:t>账 号：</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30"/>
          <w:szCs w:val="32"/>
          <w:lang w:val="en-US" w:eastAsia="zh-CN"/>
        </w:rPr>
      </w:pPr>
      <w:r>
        <w:rPr>
          <w:rFonts w:hint="eastAsia" w:eastAsia="仿宋_GB2312"/>
          <w:color w:val="auto"/>
          <w:kern w:val="0"/>
          <w:sz w:val="30"/>
          <w:szCs w:val="32"/>
          <w:lang w:val="en-US" w:eastAsia="zh-CN"/>
        </w:rPr>
        <w:t>开户行：</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30"/>
          <w:szCs w:val="32"/>
          <w:u w:val="none"/>
          <w:lang w:val="en-US" w:eastAsia="zh-CN"/>
        </w:rPr>
      </w:pPr>
      <w:bookmarkStart w:id="860" w:name="_Toc30124"/>
      <w:r>
        <w:rPr>
          <w:rFonts w:hint="eastAsia" w:eastAsia="仿宋_GB2312"/>
          <w:color w:val="auto"/>
          <w:kern w:val="0"/>
          <w:sz w:val="28"/>
          <w:szCs w:val="32"/>
          <w:u w:val="none"/>
          <w:lang w:val="en-US" w:eastAsia="zh-CN"/>
        </w:rPr>
        <w:t xml:space="preserve">14.3 </w:t>
      </w:r>
      <w:r>
        <w:rPr>
          <w:rFonts w:hint="eastAsia" w:eastAsia="仿宋_GB2312"/>
          <w:color w:val="auto"/>
          <w:kern w:val="0"/>
          <w:sz w:val="30"/>
          <w:szCs w:val="32"/>
          <w:u w:val="none"/>
          <w:lang w:val="en-US" w:eastAsia="zh-CN"/>
        </w:rPr>
        <w:t>结算原则：</w:t>
      </w:r>
      <w:bookmarkEnd w:id="860"/>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14.3.1 本工程工程量按实结算。实际工程量以乙方实际完成且经甲方认可合格的工程量，工程量按施工图结合现场收方签证资料、设计变更及工程量变更计算。</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14.3.2 计量原则：按《建设工程工程量清单计价规范》（GB50500-2013）、《房屋建筑与装饰工程工程量计算规范》（GB50854-2013）、《通用安装工程工程量计算规范》（GB50856-2013）、《重庆市建设工程工程量清单计价规则》（CQJJGZ-2013）、《重庆市建设工程工程量计算规则》（CQJLGZ-2013）等规定的计算规则及第五章“工程量清单”规定的计算规则计量。</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14.3.3 甲方有权进行工程变更、调整或者增减工程内容及工程量，乙方必须无条件接受并严格自行，按照实际完成的合格工程内容及工程量进行结算，乙方不得以工程变更、调整或者增减工程内容及工程量主张任何索赔或补偿，如不接受，甲方有权提前解约，同时没收乙方的履约保证金，并要求退场。</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default"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 xml:space="preserve">14.3.4 </w:t>
      </w:r>
      <w:r>
        <w:rPr>
          <w:rFonts w:hint="default" w:eastAsia="仿宋_GB2312"/>
          <w:color w:val="auto"/>
          <w:kern w:val="0"/>
          <w:sz w:val="30"/>
          <w:szCs w:val="32"/>
          <w:u w:val="none"/>
          <w:lang w:val="en-US" w:eastAsia="zh-CN"/>
        </w:rPr>
        <w:t>结算原则：</w:t>
      </w:r>
      <w:r>
        <w:rPr>
          <w:rFonts w:hint="eastAsia" w:eastAsia="仿宋_GB2312"/>
          <w:color w:val="auto"/>
          <w:kern w:val="0"/>
          <w:sz w:val="30"/>
          <w:szCs w:val="32"/>
          <w:u w:val="none"/>
          <w:lang w:val="en-US" w:eastAsia="zh-CN"/>
        </w:rPr>
        <w:t>合同竣工（完工）结算价</w:t>
      </w:r>
      <w:r>
        <w:rPr>
          <w:rFonts w:hint="default" w:eastAsia="仿宋_GB2312"/>
          <w:color w:val="auto"/>
          <w:kern w:val="0"/>
          <w:sz w:val="30"/>
          <w:szCs w:val="32"/>
          <w:u w:val="none"/>
          <w:lang w:val="en-US" w:eastAsia="zh-CN"/>
        </w:rPr>
        <w:t>=</w:t>
      </w:r>
      <w:r>
        <w:rPr>
          <w:rFonts w:hint="eastAsia" w:eastAsia="仿宋_GB2312"/>
          <w:color w:val="auto"/>
          <w:kern w:val="0"/>
          <w:sz w:val="30"/>
          <w:szCs w:val="32"/>
          <w:u w:val="none"/>
          <w:lang w:val="en-US" w:eastAsia="zh-CN"/>
        </w:rPr>
        <w:t>合同</w:t>
      </w:r>
      <w:r>
        <w:rPr>
          <w:rFonts w:hint="default" w:eastAsia="仿宋_GB2312"/>
          <w:color w:val="auto"/>
          <w:kern w:val="0"/>
          <w:sz w:val="30"/>
          <w:szCs w:val="32"/>
          <w:u w:val="none"/>
          <w:lang w:val="en-US" w:eastAsia="zh-CN"/>
        </w:rPr>
        <w:t>全费用</w:t>
      </w:r>
      <w:r>
        <w:rPr>
          <w:rFonts w:hint="eastAsia" w:eastAsia="仿宋_GB2312"/>
          <w:color w:val="auto"/>
          <w:kern w:val="0"/>
          <w:sz w:val="30"/>
          <w:szCs w:val="32"/>
          <w:u w:val="none"/>
          <w:lang w:val="en-US" w:eastAsia="zh-CN"/>
        </w:rPr>
        <w:t>固定</w:t>
      </w:r>
      <w:r>
        <w:rPr>
          <w:rFonts w:hint="default" w:eastAsia="仿宋_GB2312"/>
          <w:color w:val="auto"/>
          <w:kern w:val="0"/>
          <w:sz w:val="30"/>
          <w:szCs w:val="32"/>
          <w:u w:val="none"/>
          <w:lang w:val="en-US" w:eastAsia="zh-CN"/>
        </w:rPr>
        <w:t>综合单价×实际完成</w:t>
      </w:r>
      <w:r>
        <w:rPr>
          <w:rFonts w:hint="eastAsia" w:eastAsia="仿宋_GB2312"/>
          <w:color w:val="auto"/>
          <w:kern w:val="0"/>
          <w:sz w:val="30"/>
          <w:szCs w:val="32"/>
          <w:u w:val="none"/>
          <w:lang w:val="en-US" w:eastAsia="zh-CN"/>
        </w:rPr>
        <w:t>的合格</w:t>
      </w:r>
      <w:r>
        <w:rPr>
          <w:rFonts w:hint="default" w:eastAsia="仿宋_GB2312"/>
          <w:color w:val="auto"/>
          <w:kern w:val="0"/>
          <w:sz w:val="30"/>
          <w:szCs w:val="32"/>
          <w:u w:val="none"/>
          <w:lang w:val="en-US" w:eastAsia="zh-CN"/>
        </w:rPr>
        <w:t>工程量±</w:t>
      </w:r>
      <w:r>
        <w:rPr>
          <w:rFonts w:hint="eastAsia" w:eastAsia="仿宋_GB2312"/>
          <w:color w:val="auto"/>
          <w:kern w:val="0"/>
          <w:sz w:val="30"/>
          <w:szCs w:val="32"/>
          <w:u w:val="none"/>
          <w:lang w:val="en-US" w:eastAsia="zh-CN"/>
        </w:rPr>
        <w:t>∑</w:t>
      </w:r>
      <w:r>
        <w:rPr>
          <w:rFonts w:hint="default" w:eastAsia="仿宋_GB2312"/>
          <w:color w:val="auto"/>
          <w:kern w:val="0"/>
          <w:sz w:val="30"/>
          <w:szCs w:val="32"/>
          <w:u w:val="none"/>
          <w:lang w:val="en-US" w:eastAsia="zh-CN"/>
        </w:rPr>
        <w:t>变更</w:t>
      </w:r>
      <w:r>
        <w:rPr>
          <w:rFonts w:hint="eastAsia" w:eastAsia="仿宋_GB2312"/>
          <w:color w:val="auto"/>
          <w:kern w:val="0"/>
          <w:sz w:val="30"/>
          <w:szCs w:val="32"/>
          <w:u w:val="none"/>
          <w:lang w:val="en-US" w:eastAsia="zh-CN"/>
        </w:rPr>
        <w:t>、索赔与现场签证结算价</w:t>
      </w:r>
      <w:r>
        <w:rPr>
          <w:rFonts w:hint="default" w:eastAsia="仿宋_GB2312"/>
          <w:color w:val="auto"/>
          <w:kern w:val="0"/>
          <w:sz w:val="30"/>
          <w:szCs w:val="32"/>
          <w:u w:val="none"/>
          <w:lang w:val="en-US" w:eastAsia="zh-CN"/>
        </w:rPr>
        <w:t>±</w:t>
      </w:r>
      <w:r>
        <w:rPr>
          <w:rFonts w:hint="eastAsia" w:eastAsia="仿宋_GB2312"/>
          <w:color w:val="auto"/>
          <w:kern w:val="0"/>
          <w:sz w:val="30"/>
          <w:szCs w:val="32"/>
          <w:u w:val="none"/>
          <w:lang w:val="en-US" w:eastAsia="zh-CN"/>
        </w:rPr>
        <w:t>∑奖励、罚金、违约金</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61" w:name="_Toc25524"/>
      <w:bookmarkStart w:id="862" w:name="_Toc1114"/>
      <w:bookmarkStart w:id="863" w:name="_Toc13131"/>
      <w:bookmarkStart w:id="864" w:name="_Toc3348"/>
      <w:bookmarkStart w:id="865" w:name="_Toc8861"/>
      <w:r>
        <w:rPr>
          <w:rFonts w:hint="eastAsia" w:ascii="Times New Roman" w:hAnsi="Times New Roman" w:eastAsia="黑体"/>
          <w:b w:val="0"/>
          <w:color w:val="auto"/>
          <w:sz w:val="28"/>
          <w:szCs w:val="32"/>
          <w:lang w:val="en-US" w:eastAsia="zh-CN"/>
        </w:rPr>
        <w:t>第十五条 工程变更</w:t>
      </w:r>
      <w:bookmarkEnd w:id="861"/>
      <w:bookmarkEnd w:id="862"/>
      <w:bookmarkEnd w:id="863"/>
      <w:bookmarkEnd w:id="864"/>
      <w:bookmarkEnd w:id="865"/>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30"/>
          <w:szCs w:val="32"/>
          <w:lang w:val="en-US" w:eastAsia="zh-CN"/>
        </w:rPr>
      </w:pPr>
      <w:bookmarkStart w:id="866" w:name="_Toc21428"/>
      <w:r>
        <w:rPr>
          <w:rFonts w:hint="eastAsia" w:eastAsia="仿宋_GB2312"/>
          <w:color w:val="auto"/>
          <w:kern w:val="0"/>
          <w:sz w:val="30"/>
          <w:szCs w:val="32"/>
          <w:lang w:val="en-US" w:eastAsia="zh-CN"/>
        </w:rPr>
        <w:t>15.1 变更工程量单价确定的原则。</w:t>
      </w:r>
      <w:bookmarkEnd w:id="866"/>
    </w:p>
    <w:p>
      <w:pPr>
        <w:keepNext w:val="0"/>
        <w:keepLines w:val="0"/>
        <w:pageBreakBefore w:val="0"/>
        <w:widowControl w:val="0"/>
        <w:kinsoku/>
        <w:wordWrap/>
        <w:overflowPunct/>
        <w:topLinePunct w:val="0"/>
        <w:autoSpaceDE/>
        <w:autoSpaceDN/>
        <w:bidi w:val="0"/>
        <w:adjustRightInd/>
        <w:snapToGrid/>
        <w:spacing w:line="360" w:lineRule="auto"/>
        <w:ind w:firstLine="750" w:firstLineChars="25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15.1.1 如果变更的工程清单子目在已标价工程量清单中具有相同的清单子目，应按相同的清单子目单价执行。</w:t>
      </w:r>
    </w:p>
    <w:p>
      <w:pPr>
        <w:keepNext w:val="0"/>
        <w:keepLines w:val="0"/>
        <w:pageBreakBefore w:val="0"/>
        <w:widowControl w:val="0"/>
        <w:kinsoku/>
        <w:wordWrap/>
        <w:overflowPunct/>
        <w:topLinePunct w:val="0"/>
        <w:autoSpaceDE/>
        <w:autoSpaceDN/>
        <w:bidi w:val="0"/>
        <w:adjustRightInd/>
        <w:snapToGrid/>
        <w:spacing w:line="360" w:lineRule="auto"/>
        <w:ind w:firstLine="750" w:firstLineChars="25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15.1.2 如果变更的工程清单子目在已标价工程量清单中无相同的的清单子目，但有类似的清单子目，由甲方在已标价工程量清单内参照类似的清单子目单价来确定。</w:t>
      </w:r>
    </w:p>
    <w:p>
      <w:pPr>
        <w:keepNext w:val="0"/>
        <w:keepLines w:val="0"/>
        <w:pageBreakBefore w:val="0"/>
        <w:widowControl w:val="0"/>
        <w:kinsoku/>
        <w:wordWrap/>
        <w:overflowPunct/>
        <w:topLinePunct w:val="0"/>
        <w:autoSpaceDE/>
        <w:autoSpaceDN/>
        <w:bidi w:val="0"/>
        <w:adjustRightInd/>
        <w:snapToGrid/>
        <w:spacing w:line="360" w:lineRule="auto"/>
        <w:ind w:firstLine="750" w:firstLineChars="250"/>
        <w:textAlignment w:val="auto"/>
        <w:rPr>
          <w:rFonts w:hint="eastAsia" w:eastAsia="仿宋_GB2312"/>
          <w:color w:val="auto"/>
          <w:kern w:val="0"/>
          <w:sz w:val="30"/>
          <w:szCs w:val="32"/>
          <w:u w:val="none"/>
          <w:lang w:val="en-US" w:eastAsia="zh-CN"/>
        </w:rPr>
      </w:pPr>
      <w:r>
        <w:rPr>
          <w:rFonts w:hint="eastAsia" w:eastAsia="仿宋_GB2312"/>
          <w:color w:val="auto"/>
          <w:kern w:val="0"/>
          <w:sz w:val="30"/>
          <w:szCs w:val="32"/>
          <w:u w:val="none"/>
          <w:lang w:val="en-US" w:eastAsia="zh-CN"/>
        </w:rPr>
        <w:t>15.1.3 如果变更的工程清单子目在已标价工程量清单中无相同的清单子目也无类似的清单子目，由乙方提出合理的全费用综合单价，最终按照甲方审定的全费用综合单价执行。</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30"/>
          <w:szCs w:val="32"/>
          <w:lang w:val="en-US" w:eastAsia="zh-CN"/>
        </w:rPr>
      </w:pPr>
      <w:r>
        <w:rPr>
          <w:rFonts w:hint="eastAsia" w:eastAsia="仿宋_GB2312"/>
          <w:color w:val="auto"/>
          <w:kern w:val="0"/>
          <w:sz w:val="30"/>
          <w:szCs w:val="32"/>
          <w:lang w:val="en-US" w:eastAsia="zh-CN"/>
        </w:rPr>
        <w:t>15.2 未经甲方书面同意，乙方不得对内容进行调整。若因乙方擅自调整造成的损失，概由乙方承担。</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30"/>
          <w:szCs w:val="32"/>
          <w:lang w:val="en-US" w:eastAsia="zh-CN"/>
        </w:rPr>
      </w:pPr>
      <w:bookmarkStart w:id="867" w:name="_Toc18391"/>
      <w:r>
        <w:rPr>
          <w:rFonts w:hint="eastAsia" w:eastAsia="仿宋_GB2312"/>
          <w:color w:val="auto"/>
          <w:kern w:val="0"/>
          <w:sz w:val="30"/>
          <w:szCs w:val="32"/>
          <w:lang w:val="en-US" w:eastAsia="zh-CN"/>
        </w:rPr>
        <w:t>15.3 变更的工程量需经甲方审批同意后，方可计量。</w:t>
      </w:r>
      <w:bookmarkEnd w:id="867"/>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68" w:name="_Toc18167"/>
      <w:bookmarkStart w:id="869" w:name="_Toc12116"/>
      <w:bookmarkStart w:id="870" w:name="_Toc1976"/>
      <w:bookmarkStart w:id="871" w:name="_Toc31878"/>
      <w:bookmarkStart w:id="872" w:name="_Toc17224"/>
      <w:r>
        <w:rPr>
          <w:rFonts w:hint="eastAsia" w:ascii="Times New Roman" w:hAnsi="Times New Roman" w:eastAsia="黑体"/>
          <w:b w:val="0"/>
          <w:color w:val="auto"/>
          <w:sz w:val="28"/>
          <w:szCs w:val="32"/>
          <w:lang w:val="en-US" w:eastAsia="zh-CN"/>
        </w:rPr>
        <w:t>第十六条 合同解除</w:t>
      </w:r>
      <w:bookmarkEnd w:id="868"/>
      <w:bookmarkEnd w:id="869"/>
      <w:bookmarkEnd w:id="870"/>
      <w:bookmarkEnd w:id="871"/>
      <w:bookmarkEnd w:id="872"/>
    </w:p>
    <w:p>
      <w:pPr>
        <w:pStyle w:val="12"/>
        <w:pageBreakBefore w:val="0"/>
        <w:widowControl w:val="0"/>
        <w:numPr>
          <w:ilvl w:val="0"/>
          <w:numId w:val="0"/>
        </w:numPr>
        <w:kinsoku/>
        <w:wordWrap/>
        <w:overflowPunct/>
        <w:topLinePunct w:val="0"/>
        <w:autoSpaceDE/>
        <w:autoSpaceDN/>
        <w:bidi w:val="0"/>
        <w:adjustRightInd/>
        <w:spacing w:line="360" w:lineRule="auto"/>
        <w:ind w:firstLine="600" w:firstLineChars="200"/>
        <w:textAlignment w:val="auto"/>
        <w:outlineLvl w:val="9"/>
        <w:rPr>
          <w:rFonts w:hint="default" w:eastAsia="仿宋_GB2312" w:cs="Times New Roman"/>
          <w:color w:val="auto"/>
          <w:kern w:val="0"/>
          <w:sz w:val="30"/>
          <w:szCs w:val="32"/>
          <w:lang w:val="en-US" w:eastAsia="zh-CN" w:bidi="ar-SA"/>
        </w:rPr>
      </w:pPr>
      <w:bookmarkStart w:id="873" w:name="_Toc31019"/>
      <w:r>
        <w:rPr>
          <w:rFonts w:hint="default" w:eastAsia="仿宋_GB2312" w:cs="Times New Roman"/>
          <w:color w:val="auto"/>
          <w:kern w:val="0"/>
          <w:sz w:val="30"/>
          <w:szCs w:val="32"/>
          <w:lang w:val="en-US" w:eastAsia="zh-CN" w:bidi="ar-SA"/>
        </w:rPr>
        <w:t>1</w:t>
      </w:r>
      <w:r>
        <w:rPr>
          <w:rFonts w:hint="eastAsia" w:eastAsia="仿宋_GB2312" w:cs="Times New Roman"/>
          <w:color w:val="auto"/>
          <w:kern w:val="0"/>
          <w:sz w:val="30"/>
          <w:szCs w:val="32"/>
          <w:lang w:val="en-US" w:eastAsia="zh-CN" w:bidi="ar-SA"/>
        </w:rPr>
        <w:t>6</w:t>
      </w:r>
      <w:r>
        <w:rPr>
          <w:rFonts w:hint="default" w:eastAsia="仿宋_GB2312" w:cs="Times New Roman"/>
          <w:color w:val="auto"/>
          <w:kern w:val="0"/>
          <w:sz w:val="30"/>
          <w:szCs w:val="32"/>
          <w:lang w:val="en-US" w:eastAsia="zh-CN" w:bidi="ar-SA"/>
        </w:rPr>
        <w:t>.1 甲、乙双方协商一致，可以解除合同；</w:t>
      </w:r>
      <w:bookmarkEnd w:id="873"/>
    </w:p>
    <w:p>
      <w:pPr>
        <w:pStyle w:val="12"/>
        <w:pageBreakBefore w:val="0"/>
        <w:widowControl w:val="0"/>
        <w:numPr>
          <w:ilvl w:val="0"/>
          <w:numId w:val="0"/>
        </w:numPr>
        <w:kinsoku/>
        <w:wordWrap/>
        <w:overflowPunct/>
        <w:topLinePunct w:val="0"/>
        <w:autoSpaceDE/>
        <w:autoSpaceDN/>
        <w:bidi w:val="0"/>
        <w:adjustRightInd/>
        <w:spacing w:line="360" w:lineRule="auto"/>
        <w:ind w:firstLine="600" w:firstLineChars="200"/>
        <w:textAlignment w:val="auto"/>
        <w:rPr>
          <w:rFonts w:hint="default" w:eastAsia="仿宋_GB2312" w:cs="Times New Roman"/>
          <w:color w:val="auto"/>
          <w:kern w:val="0"/>
          <w:sz w:val="30"/>
          <w:szCs w:val="32"/>
          <w:lang w:val="en-US" w:eastAsia="zh-CN" w:bidi="ar-SA"/>
        </w:rPr>
      </w:pPr>
      <w:r>
        <w:rPr>
          <w:rFonts w:hint="default" w:eastAsia="仿宋_GB2312" w:cs="Times New Roman"/>
          <w:color w:val="auto"/>
          <w:kern w:val="0"/>
          <w:sz w:val="30"/>
          <w:szCs w:val="32"/>
          <w:lang w:val="en-US" w:eastAsia="zh-CN" w:bidi="ar-SA"/>
        </w:rPr>
        <w:t>1</w:t>
      </w:r>
      <w:r>
        <w:rPr>
          <w:rFonts w:hint="eastAsia" w:eastAsia="仿宋_GB2312" w:cs="Times New Roman"/>
          <w:color w:val="auto"/>
          <w:kern w:val="0"/>
          <w:sz w:val="30"/>
          <w:szCs w:val="32"/>
          <w:lang w:val="en-US" w:eastAsia="zh-CN" w:bidi="ar-SA"/>
        </w:rPr>
        <w:t>6</w:t>
      </w:r>
      <w:r>
        <w:rPr>
          <w:rFonts w:hint="default" w:eastAsia="仿宋_GB2312" w:cs="Times New Roman"/>
          <w:color w:val="auto"/>
          <w:kern w:val="0"/>
          <w:sz w:val="30"/>
          <w:szCs w:val="32"/>
          <w:lang w:val="en-US" w:eastAsia="zh-CN" w:bidi="ar-SA"/>
        </w:rPr>
        <w:t>.2 因其他客观原因或不可抗力致使合同无法履行或继续履行会对一方造成重大损失的，经双方协商一致，可以解除合同；</w:t>
      </w:r>
    </w:p>
    <w:p>
      <w:pPr>
        <w:pStyle w:val="12"/>
        <w:pageBreakBefore w:val="0"/>
        <w:widowControl w:val="0"/>
        <w:numPr>
          <w:ilvl w:val="0"/>
          <w:numId w:val="0"/>
        </w:numPr>
        <w:kinsoku/>
        <w:wordWrap/>
        <w:overflowPunct/>
        <w:topLinePunct w:val="0"/>
        <w:autoSpaceDE/>
        <w:autoSpaceDN/>
        <w:bidi w:val="0"/>
        <w:adjustRightInd/>
        <w:spacing w:line="360" w:lineRule="auto"/>
        <w:ind w:firstLine="600" w:firstLineChars="200"/>
        <w:textAlignment w:val="auto"/>
        <w:rPr>
          <w:rFonts w:hint="default" w:eastAsia="仿宋_GB2312" w:cs="Times New Roman"/>
          <w:color w:val="auto"/>
          <w:kern w:val="0"/>
          <w:sz w:val="30"/>
          <w:szCs w:val="32"/>
          <w:lang w:val="en-US" w:eastAsia="zh-CN" w:bidi="ar-SA"/>
        </w:rPr>
      </w:pPr>
      <w:r>
        <w:rPr>
          <w:rFonts w:hint="default" w:eastAsia="仿宋_GB2312" w:cs="Times New Roman"/>
          <w:color w:val="auto"/>
          <w:kern w:val="0"/>
          <w:sz w:val="30"/>
          <w:szCs w:val="32"/>
          <w:lang w:val="en-US" w:eastAsia="zh-CN" w:bidi="ar-SA"/>
        </w:rPr>
        <w:t>1</w:t>
      </w:r>
      <w:r>
        <w:rPr>
          <w:rFonts w:hint="eastAsia" w:eastAsia="仿宋_GB2312" w:cs="Times New Roman"/>
          <w:color w:val="auto"/>
          <w:kern w:val="0"/>
          <w:sz w:val="30"/>
          <w:szCs w:val="32"/>
          <w:lang w:val="en-US" w:eastAsia="zh-CN" w:bidi="ar-SA"/>
        </w:rPr>
        <w:t>6</w:t>
      </w:r>
      <w:r>
        <w:rPr>
          <w:rFonts w:hint="default" w:eastAsia="仿宋_GB2312" w:cs="Times New Roman"/>
          <w:color w:val="auto"/>
          <w:kern w:val="0"/>
          <w:sz w:val="30"/>
          <w:szCs w:val="32"/>
          <w:lang w:val="en-US" w:eastAsia="zh-CN" w:bidi="ar-SA"/>
        </w:rPr>
        <w:t>.3 乙方出现管理问题，且在甲方催告整改期限内未完成整改的，甲方有权单方面解除合同；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仿宋_GB2312" w:cs="Times New Roman"/>
          <w:color w:val="auto"/>
          <w:kern w:val="0"/>
          <w:sz w:val="30"/>
          <w:szCs w:val="32"/>
          <w:lang w:val="en-US" w:eastAsia="zh-CN" w:bidi="ar-SA"/>
        </w:rPr>
      </w:pPr>
      <w:r>
        <w:rPr>
          <w:rFonts w:hint="default" w:ascii="Times New Roman" w:hAnsi="Times New Roman" w:eastAsia="仿宋_GB2312" w:cs="Times New Roman"/>
          <w:color w:val="auto"/>
          <w:kern w:val="0"/>
          <w:sz w:val="30"/>
          <w:szCs w:val="32"/>
          <w:lang w:val="en-US" w:eastAsia="zh-CN" w:bidi="ar-SA"/>
        </w:rPr>
        <w:t>1</w:t>
      </w:r>
      <w:r>
        <w:rPr>
          <w:rFonts w:hint="eastAsia" w:eastAsia="仿宋_GB2312" w:cs="Times New Roman"/>
          <w:color w:val="auto"/>
          <w:kern w:val="0"/>
          <w:sz w:val="30"/>
          <w:szCs w:val="32"/>
          <w:lang w:val="en-US" w:eastAsia="zh-CN" w:bidi="ar-SA"/>
        </w:rPr>
        <w:t>6</w:t>
      </w:r>
      <w:r>
        <w:rPr>
          <w:rFonts w:hint="eastAsia" w:ascii="Times New Roman" w:hAnsi="Times New Roman" w:eastAsia="仿宋_GB2312" w:cs="Times New Roman"/>
          <w:color w:val="auto"/>
          <w:kern w:val="0"/>
          <w:sz w:val="30"/>
          <w:szCs w:val="32"/>
          <w:lang w:val="en-US" w:eastAsia="zh-CN" w:bidi="ar-SA"/>
        </w:rPr>
        <w:t>.4 如因不可抗力致使本合同无法履行，甲方和乙方可以解除合同。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仿宋_GB2312" w:cs="Times New Roman"/>
          <w:color w:val="auto"/>
          <w:kern w:val="0"/>
          <w:sz w:val="30"/>
          <w:szCs w:val="32"/>
          <w:lang w:val="en-US" w:eastAsia="zh-CN" w:bidi="ar-SA"/>
        </w:rPr>
      </w:pPr>
      <w:r>
        <w:rPr>
          <w:rFonts w:hint="default" w:ascii="Times New Roman" w:hAnsi="Times New Roman" w:eastAsia="仿宋_GB2312" w:cs="Times New Roman"/>
          <w:color w:val="auto"/>
          <w:kern w:val="0"/>
          <w:sz w:val="30"/>
          <w:szCs w:val="32"/>
          <w:lang w:val="en-US" w:eastAsia="zh-CN" w:bidi="ar-SA"/>
        </w:rPr>
        <w:t>1</w:t>
      </w:r>
      <w:r>
        <w:rPr>
          <w:rFonts w:hint="eastAsia" w:ascii="Times New Roman" w:hAnsi="Times New Roman" w:eastAsia="仿宋_GB2312" w:cs="Times New Roman"/>
          <w:color w:val="auto"/>
          <w:kern w:val="0"/>
          <w:sz w:val="30"/>
          <w:szCs w:val="32"/>
          <w:lang w:val="en-US" w:eastAsia="zh-CN" w:bidi="ar-SA"/>
        </w:rPr>
        <w:t>5.5 合同解除后，乙方应妥善做好已完工程和剩余材料、设备的保护和移交工作，按甲方要求撤出施工场地。甲方应为乙方撤出提供必要条件，并按合同约定支付已完工部分的合同价款。有过错的一方应当赔偿因合同解除给对方造成的损失。</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00"/>
        <w:textAlignment w:val="baseline"/>
        <w:rPr>
          <w:rFonts w:hint="eastAsia" w:ascii="Times New Roman" w:hAnsi="Times New Roman" w:eastAsia="仿宋_GB2312" w:cs="Times New Roman"/>
          <w:color w:val="auto"/>
          <w:kern w:val="0"/>
          <w:sz w:val="30"/>
          <w:szCs w:val="32"/>
          <w:lang w:val="en-US" w:eastAsia="zh-CN" w:bidi="ar-SA"/>
        </w:rPr>
      </w:pPr>
      <w:r>
        <w:rPr>
          <w:rFonts w:hint="default" w:ascii="Times New Roman" w:hAnsi="Times New Roman" w:eastAsia="仿宋_GB2312" w:cs="Times New Roman"/>
          <w:color w:val="auto"/>
          <w:kern w:val="0"/>
          <w:sz w:val="30"/>
          <w:szCs w:val="32"/>
          <w:lang w:val="en-US" w:eastAsia="zh-CN" w:bidi="ar-SA"/>
        </w:rPr>
        <w:t>1</w:t>
      </w:r>
      <w:r>
        <w:rPr>
          <w:rFonts w:hint="eastAsia" w:eastAsia="仿宋_GB2312" w:cs="Times New Roman"/>
          <w:color w:val="auto"/>
          <w:kern w:val="0"/>
          <w:sz w:val="30"/>
          <w:szCs w:val="32"/>
          <w:lang w:val="en-US" w:eastAsia="zh-CN" w:bidi="ar-SA"/>
        </w:rPr>
        <w:t>6</w:t>
      </w:r>
      <w:r>
        <w:rPr>
          <w:rFonts w:hint="eastAsia" w:ascii="Times New Roman" w:hAnsi="Times New Roman" w:eastAsia="仿宋_GB2312" w:cs="Times New Roman"/>
          <w:color w:val="auto"/>
          <w:kern w:val="0"/>
          <w:sz w:val="30"/>
          <w:szCs w:val="32"/>
          <w:lang w:val="en-US" w:eastAsia="zh-CN" w:bidi="ar-SA"/>
        </w:rPr>
        <w:t>.6合同解除后，不影响双方在合同中约定的结算和争议条款的效力。</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874" w:name="_Toc22956"/>
      <w:bookmarkStart w:id="875" w:name="_Toc16320"/>
      <w:bookmarkStart w:id="876" w:name="_Toc5446"/>
      <w:bookmarkStart w:id="877" w:name="_Toc29618"/>
      <w:bookmarkStart w:id="878" w:name="_Toc21269"/>
      <w:r>
        <w:rPr>
          <w:rFonts w:hint="eastAsia" w:ascii="Times New Roman" w:hAnsi="Times New Roman" w:eastAsia="黑体"/>
          <w:b w:val="0"/>
          <w:color w:val="auto"/>
          <w:sz w:val="28"/>
          <w:szCs w:val="32"/>
          <w:lang w:val="en-US" w:eastAsia="zh-CN"/>
        </w:rPr>
        <w:t>第十七条 争议解决</w:t>
      </w:r>
      <w:bookmarkEnd w:id="874"/>
      <w:bookmarkEnd w:id="875"/>
      <w:bookmarkEnd w:id="876"/>
      <w:bookmarkEnd w:id="877"/>
      <w:bookmarkEnd w:id="878"/>
    </w:p>
    <w:p>
      <w:pPr>
        <w:pStyle w:val="12"/>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32"/>
          <w:u w:val="none"/>
          <w:lang w:val="en-US" w:eastAsia="zh-CN" w:bidi="ar-SA"/>
        </w:rPr>
      </w:pPr>
      <w:r>
        <w:rPr>
          <w:rFonts w:hint="eastAsia" w:ascii="Times New Roman" w:hAnsi="Times New Roman" w:eastAsia="仿宋" w:cs="Times New Roman"/>
          <w:color w:val="auto"/>
          <w:kern w:val="0"/>
          <w:sz w:val="28"/>
          <w:szCs w:val="32"/>
          <w:u w:val="none"/>
          <w:lang w:val="en-US" w:eastAsia="zh-CN" w:bidi="ar-SA"/>
        </w:rPr>
        <w:t>1</w:t>
      </w:r>
      <w:r>
        <w:rPr>
          <w:rFonts w:hint="eastAsia" w:eastAsia="仿宋" w:cs="Times New Roman"/>
          <w:color w:val="auto"/>
          <w:kern w:val="0"/>
          <w:sz w:val="28"/>
          <w:szCs w:val="32"/>
          <w:u w:val="none"/>
          <w:lang w:val="en-US" w:eastAsia="zh-CN" w:bidi="ar-SA"/>
        </w:rPr>
        <w:t>7</w:t>
      </w:r>
      <w:r>
        <w:rPr>
          <w:rFonts w:hint="eastAsia" w:ascii="Times New Roman" w:hAnsi="Times New Roman" w:eastAsia="仿宋" w:cs="Times New Roman"/>
          <w:color w:val="auto"/>
          <w:kern w:val="0"/>
          <w:sz w:val="28"/>
          <w:szCs w:val="32"/>
          <w:u w:val="none"/>
          <w:lang w:val="en-US" w:eastAsia="zh-CN" w:bidi="ar-SA"/>
        </w:rPr>
        <w:t>.1 甲方和乙方在履行合同时发生争议，</w:t>
      </w:r>
      <w:r>
        <w:rPr>
          <w:rFonts w:hint="eastAsia" w:eastAsia="仿宋" w:cs="Times New Roman"/>
          <w:color w:val="auto"/>
          <w:kern w:val="0"/>
          <w:sz w:val="28"/>
          <w:szCs w:val="32"/>
          <w:u w:val="none"/>
          <w:lang w:val="en-US" w:eastAsia="zh-CN" w:bidi="ar-SA"/>
        </w:rPr>
        <w:t>在不影响工程进度的前提下，双方</w:t>
      </w:r>
      <w:r>
        <w:rPr>
          <w:rFonts w:hint="eastAsia" w:ascii="Times New Roman" w:hAnsi="Times New Roman" w:eastAsia="仿宋" w:cs="Times New Roman"/>
          <w:color w:val="auto"/>
          <w:kern w:val="0"/>
          <w:sz w:val="28"/>
          <w:szCs w:val="32"/>
          <w:u w:val="none"/>
          <w:lang w:val="en-US" w:eastAsia="zh-CN" w:bidi="ar-SA"/>
        </w:rPr>
        <w:t>可以自行和解或要求有关主管部门调解，任何一方不愿和解、调解或和解、调解不成的，</w:t>
      </w:r>
      <w:r>
        <w:rPr>
          <w:rFonts w:hint="default" w:ascii="Times New Roman" w:hAnsi="Times New Roman" w:eastAsia="仿宋" w:cs="Times New Roman"/>
          <w:color w:val="auto"/>
          <w:kern w:val="0"/>
          <w:sz w:val="28"/>
          <w:szCs w:val="32"/>
          <w:u w:val="none"/>
          <w:lang w:val="en-US" w:eastAsia="zh-CN" w:bidi="ar-SA"/>
        </w:rPr>
        <w:t>可向工程所在地人民法院提起诉讼。</w:t>
      </w:r>
    </w:p>
    <w:p>
      <w:pPr>
        <w:pStyle w:val="12"/>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32"/>
          <w:u w:val="none"/>
          <w:lang w:val="en-US" w:eastAsia="zh-CN" w:bidi="ar-SA"/>
        </w:rPr>
      </w:pPr>
      <w:r>
        <w:rPr>
          <w:rFonts w:hint="eastAsia" w:ascii="Times New Roman" w:hAnsi="Times New Roman" w:eastAsia="仿宋" w:cs="Times New Roman"/>
          <w:color w:val="auto"/>
          <w:kern w:val="0"/>
          <w:sz w:val="28"/>
          <w:szCs w:val="32"/>
          <w:u w:val="none"/>
          <w:lang w:val="en-US" w:eastAsia="zh-CN" w:bidi="ar-SA"/>
        </w:rPr>
        <w:t>1</w:t>
      </w:r>
      <w:r>
        <w:rPr>
          <w:rFonts w:hint="eastAsia" w:eastAsia="仿宋" w:cs="Times New Roman"/>
          <w:color w:val="auto"/>
          <w:kern w:val="0"/>
          <w:sz w:val="28"/>
          <w:szCs w:val="32"/>
          <w:u w:val="none"/>
          <w:lang w:val="en-US" w:eastAsia="zh-CN" w:bidi="ar-SA"/>
        </w:rPr>
        <w:t>7</w:t>
      </w:r>
      <w:r>
        <w:rPr>
          <w:rFonts w:hint="eastAsia" w:ascii="Times New Roman" w:hAnsi="Times New Roman" w:eastAsia="仿宋" w:cs="Times New Roman"/>
          <w:color w:val="auto"/>
          <w:kern w:val="0"/>
          <w:sz w:val="28"/>
          <w:szCs w:val="32"/>
          <w:u w:val="none"/>
          <w:lang w:val="en-US" w:eastAsia="zh-CN" w:bidi="ar-SA"/>
        </w:rPr>
        <w:t>.2 发生争议后，除非出现下列情况，双方都应继续履行合同，保持工作连续，保护好已完</w:t>
      </w:r>
      <w:r>
        <w:rPr>
          <w:rFonts w:hint="eastAsia" w:ascii="Times New Roman" w:hAnsi="Times New Roman" w:eastAsia="仿宋" w:cs="Times New Roman"/>
          <w:color w:val="auto"/>
          <w:kern w:val="0"/>
          <w:sz w:val="28"/>
          <w:szCs w:val="32"/>
          <w:u w:val="none"/>
          <w:lang w:val="en-US" w:eastAsia="zh-Hans" w:bidi="ar-SA"/>
        </w:rPr>
        <w:t>成</w:t>
      </w:r>
      <w:r>
        <w:rPr>
          <w:rFonts w:hint="eastAsia" w:ascii="Times New Roman" w:hAnsi="Times New Roman" w:eastAsia="仿宋" w:cs="Times New Roman"/>
          <w:color w:val="auto"/>
          <w:kern w:val="0"/>
          <w:sz w:val="28"/>
          <w:szCs w:val="32"/>
          <w:u w:val="none"/>
          <w:lang w:val="en-US" w:eastAsia="zh-CN" w:bidi="ar-SA"/>
        </w:rPr>
        <w:t>成果：</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Times New Roman" w:hAnsi="Times New Roman" w:eastAsia="仿宋" w:cs="Times New Roman"/>
          <w:color w:val="auto"/>
          <w:kern w:val="0"/>
          <w:sz w:val="28"/>
          <w:szCs w:val="32"/>
          <w:u w:val="none"/>
          <w:lang w:val="en-US" w:eastAsia="zh-CN" w:bidi="ar-SA"/>
        </w:rPr>
      </w:pPr>
      <w:r>
        <w:rPr>
          <w:rFonts w:hint="eastAsia" w:eastAsia="仿宋" w:cs="Times New Roman"/>
          <w:color w:val="auto"/>
          <w:kern w:val="0"/>
          <w:sz w:val="28"/>
          <w:szCs w:val="32"/>
          <w:u w:val="none"/>
          <w:lang w:val="en-US" w:eastAsia="zh-CN" w:bidi="ar-SA"/>
        </w:rPr>
        <w:t>17.2.1</w:t>
      </w:r>
      <w:r>
        <w:rPr>
          <w:rFonts w:hint="eastAsia" w:ascii="Times New Roman" w:hAnsi="Times New Roman" w:eastAsia="仿宋" w:cs="Times New Roman"/>
          <w:color w:val="auto"/>
          <w:kern w:val="0"/>
          <w:sz w:val="28"/>
          <w:szCs w:val="32"/>
          <w:u w:val="none"/>
          <w:lang w:val="en-US" w:eastAsia="zh-CN" w:bidi="ar-SA"/>
        </w:rPr>
        <w:t>单方违约导致合同确已无法履行，双方协议终止合同；</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32"/>
          <w:u w:val="none"/>
          <w:lang w:val="en-US" w:eastAsia="zh-CN" w:bidi="ar-SA"/>
        </w:rPr>
      </w:pPr>
      <w:r>
        <w:rPr>
          <w:rFonts w:hint="eastAsia" w:eastAsia="仿宋" w:cs="Times New Roman"/>
          <w:color w:val="auto"/>
          <w:kern w:val="0"/>
          <w:sz w:val="28"/>
          <w:szCs w:val="32"/>
          <w:u w:val="none"/>
          <w:lang w:val="en-US" w:eastAsia="zh-CN" w:bidi="ar-SA"/>
        </w:rPr>
        <w:t>17.2.2 调解要求停止合同工作，且为双方接受；</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32"/>
          <w:u w:val="none"/>
          <w:lang w:val="en-US" w:eastAsia="zh-CN" w:bidi="ar-SA"/>
        </w:rPr>
      </w:pPr>
      <w:r>
        <w:rPr>
          <w:rFonts w:hint="eastAsia" w:eastAsia="仿宋" w:cs="Times New Roman"/>
          <w:color w:val="auto"/>
          <w:kern w:val="0"/>
          <w:sz w:val="28"/>
          <w:szCs w:val="32"/>
          <w:u w:val="none"/>
          <w:lang w:val="en-US" w:eastAsia="zh-CN" w:bidi="ar-SA"/>
        </w:rPr>
        <w:t>17.2.3 仲裁机构要求停止合同工作；</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32"/>
          <w:u w:val="none"/>
          <w:lang w:val="en-US" w:eastAsia="zh-CN" w:bidi="ar-SA"/>
        </w:rPr>
      </w:pPr>
      <w:r>
        <w:rPr>
          <w:rFonts w:hint="eastAsia" w:eastAsia="仿宋" w:cs="Times New Roman"/>
          <w:color w:val="auto"/>
          <w:kern w:val="0"/>
          <w:sz w:val="28"/>
          <w:szCs w:val="32"/>
          <w:u w:val="none"/>
          <w:lang w:val="en-US" w:eastAsia="zh-CN" w:bidi="ar-SA"/>
        </w:rPr>
        <w:t>17.2.4 法院要求停止合同工作。</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79" w:name="_Toc5512"/>
      <w:bookmarkStart w:id="880" w:name="_Toc604"/>
      <w:bookmarkStart w:id="881" w:name="_Toc6999"/>
      <w:bookmarkStart w:id="882" w:name="_Toc20646"/>
      <w:bookmarkStart w:id="883" w:name="_Toc26538"/>
      <w:r>
        <w:rPr>
          <w:rFonts w:hint="eastAsia" w:ascii="Times New Roman" w:hAnsi="Times New Roman" w:eastAsia="黑体"/>
          <w:b w:val="0"/>
          <w:color w:val="auto"/>
          <w:sz w:val="28"/>
          <w:szCs w:val="32"/>
          <w:lang w:val="en-US" w:eastAsia="zh-CN"/>
        </w:rPr>
        <w:t>第十八条 不可抗力</w:t>
      </w:r>
      <w:bookmarkEnd w:id="879"/>
      <w:bookmarkEnd w:id="880"/>
      <w:bookmarkEnd w:id="881"/>
      <w:bookmarkEnd w:id="882"/>
      <w:bookmarkEnd w:id="883"/>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4"/>
        </w:rPr>
      </w:pPr>
      <w:r>
        <w:rPr>
          <w:rFonts w:hint="eastAsia" w:ascii="Times New Roman" w:hAnsi="Times New Roman" w:eastAsia="仿宋" w:cs="宋体"/>
          <w:color w:val="auto"/>
          <w:sz w:val="28"/>
          <w:szCs w:val="24"/>
          <w:lang w:val="en-US" w:eastAsia="zh-CN"/>
        </w:rPr>
        <w:t>1</w:t>
      </w:r>
      <w:r>
        <w:rPr>
          <w:rFonts w:hint="eastAsia" w:eastAsia="仿宋" w:cs="宋体"/>
          <w:color w:val="auto"/>
          <w:sz w:val="28"/>
          <w:szCs w:val="24"/>
          <w:lang w:val="en-US" w:eastAsia="zh-CN"/>
        </w:rPr>
        <w:t>8</w:t>
      </w:r>
      <w:r>
        <w:rPr>
          <w:rFonts w:hint="eastAsia" w:ascii="Times New Roman" w:hAnsi="Times New Roman" w:eastAsia="仿宋" w:cs="宋体"/>
          <w:color w:val="auto"/>
          <w:sz w:val="28"/>
          <w:szCs w:val="24"/>
          <w:lang w:val="en-US" w:eastAsia="zh-CN"/>
        </w:rPr>
        <w:t xml:space="preserve">.1 </w:t>
      </w:r>
      <w:r>
        <w:rPr>
          <w:rFonts w:ascii="Times New Roman" w:hAnsi="Times New Roman" w:eastAsia="仿宋"/>
          <w:color w:val="auto"/>
          <w:kern w:val="0"/>
          <w:sz w:val="28"/>
          <w:szCs w:val="32"/>
        </w:rPr>
        <w:t>不可抗力是指合同当事人在签订合同时不可预见，在合同履行过程中不可避免且不能克服的自然灾害和社会性突发事件，如地震、海啸、瘟疫、骚乱、戒严、暴动、战争和约定的其他情形。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4"/>
        </w:rPr>
      </w:pPr>
      <w:r>
        <w:rPr>
          <w:rFonts w:hint="eastAsia" w:ascii="Times New Roman" w:hAnsi="Times New Roman" w:eastAsia="仿宋" w:cs="宋体"/>
          <w:color w:val="auto"/>
          <w:sz w:val="28"/>
          <w:szCs w:val="24"/>
          <w:lang w:val="en-US" w:eastAsia="zh-CN"/>
        </w:rPr>
        <w:t>1</w:t>
      </w:r>
      <w:r>
        <w:rPr>
          <w:rFonts w:hint="eastAsia" w:eastAsia="仿宋" w:cs="宋体"/>
          <w:color w:val="auto"/>
          <w:sz w:val="28"/>
          <w:szCs w:val="24"/>
          <w:lang w:val="en-US" w:eastAsia="zh-CN"/>
        </w:rPr>
        <w:t>8</w:t>
      </w:r>
      <w:r>
        <w:rPr>
          <w:rFonts w:hint="eastAsia" w:ascii="Times New Roman" w:hAnsi="Times New Roman" w:eastAsia="仿宋" w:cs="宋体"/>
          <w:color w:val="auto"/>
          <w:sz w:val="28"/>
          <w:szCs w:val="24"/>
          <w:lang w:eastAsia="zh-CN"/>
        </w:rPr>
        <w:t>.</w:t>
      </w:r>
      <w:r>
        <w:rPr>
          <w:rFonts w:hint="eastAsia" w:ascii="Times New Roman" w:hAnsi="Times New Roman" w:eastAsia="仿宋" w:cs="宋体"/>
          <w:color w:val="auto"/>
          <w:sz w:val="28"/>
          <w:szCs w:val="24"/>
          <w:lang w:val="en-US" w:eastAsia="zh-CN"/>
        </w:rPr>
        <w:t xml:space="preserve">2 </w:t>
      </w:r>
      <w:r>
        <w:rPr>
          <w:rFonts w:hint="eastAsia" w:ascii="Times New Roman" w:hAnsi="Times New Roman" w:eastAsia="仿宋" w:cs="宋体"/>
          <w:color w:val="auto"/>
          <w:sz w:val="28"/>
          <w:szCs w:val="24"/>
        </w:rPr>
        <w:t>不可抗力事件发生后，</w:t>
      </w:r>
      <w:r>
        <w:rPr>
          <w:rFonts w:hint="eastAsia" w:ascii="Times New Roman" w:hAnsi="Times New Roman" w:eastAsia="仿宋" w:cs="宋体"/>
          <w:color w:val="auto"/>
          <w:sz w:val="28"/>
          <w:szCs w:val="24"/>
          <w:lang w:eastAsia="zh-CN"/>
        </w:rPr>
        <w:t>乙方</w:t>
      </w:r>
      <w:r>
        <w:rPr>
          <w:rFonts w:hint="eastAsia" w:ascii="Times New Roman" w:hAnsi="Times New Roman" w:eastAsia="仿宋" w:cs="宋体"/>
          <w:color w:val="auto"/>
          <w:sz w:val="28"/>
          <w:szCs w:val="24"/>
        </w:rPr>
        <w:t>应立即通知</w:t>
      </w:r>
      <w:r>
        <w:rPr>
          <w:rFonts w:hint="eastAsia" w:ascii="Times New Roman" w:hAnsi="Times New Roman" w:eastAsia="仿宋" w:cs="宋体"/>
          <w:color w:val="auto"/>
          <w:sz w:val="28"/>
          <w:szCs w:val="24"/>
          <w:lang w:eastAsia="zh-CN"/>
        </w:rPr>
        <w:t>甲方</w:t>
      </w:r>
      <w:r>
        <w:rPr>
          <w:rFonts w:hint="eastAsia" w:ascii="Times New Roman" w:hAnsi="Times New Roman" w:eastAsia="仿宋" w:cs="宋体"/>
          <w:color w:val="auto"/>
          <w:sz w:val="28"/>
          <w:szCs w:val="24"/>
        </w:rPr>
        <w:t>，并在力所能及的条件下迅速采取措施，尽力减少损失，</w:t>
      </w:r>
      <w:r>
        <w:rPr>
          <w:rFonts w:hint="eastAsia" w:ascii="Times New Roman" w:hAnsi="Times New Roman" w:eastAsia="仿宋" w:cs="宋体"/>
          <w:color w:val="auto"/>
          <w:sz w:val="28"/>
          <w:szCs w:val="24"/>
          <w:lang w:eastAsia="zh-CN"/>
        </w:rPr>
        <w:t>甲方</w:t>
      </w:r>
      <w:r>
        <w:rPr>
          <w:rFonts w:hint="eastAsia" w:ascii="Times New Roman" w:hAnsi="Times New Roman" w:eastAsia="仿宋" w:cs="宋体"/>
          <w:color w:val="auto"/>
          <w:sz w:val="28"/>
          <w:szCs w:val="24"/>
        </w:rPr>
        <w:t>应协助</w:t>
      </w:r>
      <w:r>
        <w:rPr>
          <w:rFonts w:hint="eastAsia" w:ascii="Times New Roman" w:hAnsi="Times New Roman" w:eastAsia="仿宋" w:cs="宋体"/>
          <w:color w:val="auto"/>
          <w:sz w:val="28"/>
          <w:szCs w:val="24"/>
          <w:lang w:eastAsia="zh-CN"/>
        </w:rPr>
        <w:t>乙方</w:t>
      </w:r>
      <w:r>
        <w:rPr>
          <w:rFonts w:hint="eastAsia" w:ascii="Times New Roman" w:hAnsi="Times New Roman" w:eastAsia="仿宋" w:cs="宋体"/>
          <w:color w:val="auto"/>
          <w:sz w:val="28"/>
          <w:szCs w:val="24"/>
        </w:rPr>
        <w:t>采取措施。</w:t>
      </w:r>
      <w:r>
        <w:rPr>
          <w:rFonts w:hint="eastAsia" w:ascii="Times New Roman" w:hAnsi="Times New Roman" w:eastAsia="仿宋" w:cs="宋体"/>
          <w:color w:val="auto"/>
          <w:sz w:val="28"/>
          <w:szCs w:val="24"/>
          <w:lang w:val="en-US" w:eastAsia="zh-CN"/>
        </w:rPr>
        <w:t>经甲方同意，</w:t>
      </w:r>
      <w:r>
        <w:rPr>
          <w:rFonts w:hint="eastAsia" w:ascii="Times New Roman" w:hAnsi="Times New Roman" w:eastAsia="仿宋" w:cs="宋体"/>
          <w:color w:val="auto"/>
          <w:sz w:val="28"/>
          <w:szCs w:val="24"/>
          <w:lang w:eastAsia="zh-CN"/>
        </w:rPr>
        <w:t>乙方</w:t>
      </w:r>
      <w:r>
        <w:rPr>
          <w:rFonts w:hint="eastAsia" w:ascii="Times New Roman" w:hAnsi="Times New Roman" w:eastAsia="仿宋" w:cs="宋体"/>
          <w:color w:val="auto"/>
          <w:sz w:val="28"/>
          <w:szCs w:val="24"/>
          <w:lang w:val="en-US" w:eastAsia="zh-CN"/>
        </w:rPr>
        <w:t>可</w:t>
      </w:r>
      <w:r>
        <w:rPr>
          <w:rFonts w:hint="eastAsia" w:ascii="Times New Roman" w:hAnsi="Times New Roman" w:eastAsia="仿宋" w:cs="宋体"/>
          <w:color w:val="auto"/>
          <w:sz w:val="28"/>
          <w:szCs w:val="24"/>
        </w:rPr>
        <w:t>暂停工作。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1</w:t>
      </w:r>
      <w:r>
        <w:rPr>
          <w:rFonts w:hint="eastAsia" w:eastAsia="仿宋" w:cs="宋体"/>
          <w:color w:val="auto"/>
          <w:sz w:val="28"/>
          <w:szCs w:val="24"/>
          <w:lang w:val="en-US" w:eastAsia="zh-CN"/>
        </w:rPr>
        <w:t>8</w:t>
      </w:r>
      <w:r>
        <w:rPr>
          <w:rFonts w:hint="eastAsia" w:ascii="Times New Roman" w:hAnsi="Times New Roman" w:eastAsia="仿宋" w:cs="宋体"/>
          <w:color w:val="auto"/>
          <w:sz w:val="28"/>
          <w:szCs w:val="24"/>
          <w:lang w:eastAsia="zh-CN"/>
        </w:rPr>
        <w:t>.</w:t>
      </w:r>
      <w:r>
        <w:rPr>
          <w:rFonts w:hint="eastAsia" w:ascii="Times New Roman" w:hAnsi="Times New Roman" w:eastAsia="仿宋" w:cs="宋体"/>
          <w:color w:val="auto"/>
          <w:sz w:val="28"/>
          <w:szCs w:val="24"/>
          <w:lang w:val="en-US" w:eastAsia="zh-CN"/>
        </w:rPr>
        <w:t xml:space="preserve">3 </w:t>
      </w:r>
      <w:r>
        <w:rPr>
          <w:rFonts w:ascii="Times New Roman" w:hAnsi="Times New Roman" w:eastAsia="仿宋_GB2312"/>
          <w:color w:val="auto"/>
          <w:kern w:val="0"/>
          <w:sz w:val="30"/>
          <w:szCs w:val="32"/>
        </w:rPr>
        <w:t>不可抗力发生前已完</w:t>
      </w:r>
      <w:r>
        <w:rPr>
          <w:rFonts w:hint="eastAsia" w:ascii="Times New Roman" w:hAnsi="Times New Roman" w:eastAsia="仿宋_GB2312"/>
          <w:color w:val="auto"/>
          <w:kern w:val="0"/>
          <w:sz w:val="30"/>
          <w:szCs w:val="32"/>
        </w:rPr>
        <w:t>成的</w:t>
      </w:r>
      <w:r>
        <w:rPr>
          <w:rFonts w:ascii="Times New Roman" w:hAnsi="Times New Roman" w:eastAsia="仿宋_GB2312"/>
          <w:color w:val="auto"/>
          <w:kern w:val="0"/>
          <w:sz w:val="30"/>
          <w:szCs w:val="32"/>
        </w:rPr>
        <w:t>工程应当按照合同约定进行计量</w:t>
      </w:r>
      <w:r>
        <w:rPr>
          <w:rFonts w:hint="eastAsia" w:ascii="Times New Roman" w:hAnsi="Times New Roman" w:eastAsia="仿宋_GB2312"/>
          <w:color w:val="auto"/>
          <w:kern w:val="0"/>
          <w:sz w:val="30"/>
          <w:szCs w:val="32"/>
        </w:rPr>
        <w:t>支付</w:t>
      </w:r>
      <w:r>
        <w:rPr>
          <w:rFonts w:ascii="Times New Roman" w:hAnsi="Times New Roman" w:eastAsia="仿宋_GB2312"/>
          <w:color w:val="auto"/>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4"/>
        </w:rPr>
      </w:pPr>
      <w:r>
        <w:rPr>
          <w:rFonts w:hint="eastAsia" w:ascii="Times New Roman" w:hAnsi="Times New Roman" w:eastAsia="仿宋" w:cs="宋体"/>
          <w:color w:val="auto"/>
          <w:sz w:val="28"/>
          <w:szCs w:val="24"/>
        </w:rPr>
        <w:t>因不可抗力事件导致的费用和延误的工作时间由双方按以下办法分别承担：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ascii="Times New Roman" w:hAnsi="Times New Roman" w:eastAsia="仿宋" w:cs="宋体"/>
          <w:color w:val="auto"/>
          <w:sz w:val="28"/>
          <w:szCs w:val="24"/>
        </w:rPr>
      </w:pPr>
      <w:r>
        <w:rPr>
          <w:rFonts w:hint="eastAsia" w:eastAsia="仿宋" w:cs="宋体"/>
          <w:color w:val="auto"/>
          <w:sz w:val="28"/>
          <w:szCs w:val="24"/>
          <w:lang w:val="en-US" w:eastAsia="zh-CN"/>
        </w:rPr>
        <w:t xml:space="preserve">18.3.1 </w:t>
      </w:r>
      <w:r>
        <w:rPr>
          <w:rFonts w:hint="eastAsia" w:ascii="Times New Roman" w:hAnsi="Times New Roman" w:eastAsia="仿宋" w:cs="宋体"/>
          <w:color w:val="auto"/>
          <w:sz w:val="28"/>
          <w:szCs w:val="24"/>
        </w:rPr>
        <w:t>工程本身的损害、因工程损害导致第三人人员伤亡和财产损失的损害由</w:t>
      </w:r>
      <w:r>
        <w:rPr>
          <w:rFonts w:hint="eastAsia" w:ascii="Times New Roman" w:hAnsi="Times New Roman" w:eastAsia="仿宋" w:cs="宋体"/>
          <w:color w:val="auto"/>
          <w:sz w:val="28"/>
          <w:szCs w:val="24"/>
          <w:lang w:eastAsia="zh-CN"/>
        </w:rPr>
        <w:t>甲方</w:t>
      </w:r>
      <w:r>
        <w:rPr>
          <w:rFonts w:hint="eastAsia" w:ascii="Times New Roman" w:hAnsi="Times New Roman" w:eastAsia="仿宋" w:cs="宋体"/>
          <w:color w:val="auto"/>
          <w:sz w:val="28"/>
          <w:szCs w:val="24"/>
        </w:rPr>
        <w:t>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18.3.2 甲方和乙方的人员伤亡由其所在单位负责，并承担相应费用；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18.3.3 乙方自有机械设备、材料的损害及停工损失，由乙方自行承担；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18.3.4 甲方提供给乙方使用的机械设备及甲供材料的损害，由甲方承担，但停工损失由乙方自行承担；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18.3.5 停工期间，乙方按要求应留在施工场地的必要的管理人员及保卫人员的费用由乙方承担；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18.3.6 工程所需清理、修复费用，由甲方承担；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4"/>
          <w:lang w:val="en-US" w:eastAsia="zh-CN"/>
        </w:rPr>
      </w:pPr>
      <w:r>
        <w:rPr>
          <w:rFonts w:hint="eastAsia" w:eastAsia="仿宋" w:cs="宋体"/>
          <w:color w:val="auto"/>
          <w:sz w:val="28"/>
          <w:szCs w:val="24"/>
          <w:lang w:val="en-US" w:eastAsia="zh-CN"/>
        </w:rPr>
        <w:t>18.3.7 延误的工期相应顺延。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4"/>
        </w:rPr>
      </w:pPr>
      <w:r>
        <w:rPr>
          <w:rFonts w:hint="eastAsia" w:ascii="Times New Roman" w:hAnsi="Times New Roman" w:eastAsia="仿宋" w:cs="宋体"/>
          <w:color w:val="auto"/>
          <w:sz w:val="28"/>
          <w:szCs w:val="24"/>
          <w:lang w:val="en-US" w:eastAsia="zh-CN"/>
        </w:rPr>
        <w:t>1</w:t>
      </w:r>
      <w:r>
        <w:rPr>
          <w:rFonts w:hint="eastAsia" w:eastAsia="仿宋" w:cs="宋体"/>
          <w:color w:val="auto"/>
          <w:sz w:val="28"/>
          <w:szCs w:val="24"/>
          <w:lang w:val="en-US" w:eastAsia="zh-CN"/>
        </w:rPr>
        <w:t>8</w:t>
      </w:r>
      <w:r>
        <w:rPr>
          <w:rFonts w:hint="eastAsia" w:ascii="Times New Roman" w:hAnsi="Times New Roman" w:eastAsia="仿宋" w:cs="宋体"/>
          <w:color w:val="auto"/>
          <w:sz w:val="28"/>
          <w:szCs w:val="24"/>
          <w:lang w:eastAsia="zh-CN"/>
        </w:rPr>
        <w:t>.</w:t>
      </w:r>
      <w:r>
        <w:rPr>
          <w:rFonts w:hint="eastAsia" w:ascii="Times New Roman" w:hAnsi="Times New Roman" w:eastAsia="仿宋" w:cs="宋体"/>
          <w:color w:val="auto"/>
          <w:sz w:val="28"/>
          <w:szCs w:val="24"/>
          <w:lang w:val="en-US" w:eastAsia="zh-CN"/>
        </w:rPr>
        <w:t xml:space="preserve">4 </w:t>
      </w:r>
      <w:r>
        <w:rPr>
          <w:rFonts w:hint="eastAsia" w:ascii="Times New Roman" w:hAnsi="Times New Roman" w:eastAsia="仿宋" w:cs="宋体"/>
          <w:color w:val="auto"/>
          <w:sz w:val="28"/>
          <w:szCs w:val="24"/>
        </w:rPr>
        <w:t>因合同一方迟延履行合同后发生不可抗力的，不能免除迟延履行方的相应责任。</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u w:val="none"/>
          <w:lang w:val="en-US" w:eastAsia="zh-CN"/>
        </w:rPr>
      </w:pPr>
      <w:bookmarkStart w:id="884" w:name="_Toc4023"/>
      <w:bookmarkStart w:id="885" w:name="_Toc21706"/>
      <w:bookmarkStart w:id="886" w:name="_Toc9193"/>
      <w:bookmarkStart w:id="887" w:name="_Toc10770"/>
      <w:bookmarkStart w:id="888" w:name="_Toc9530"/>
      <w:r>
        <w:rPr>
          <w:rFonts w:hint="eastAsia" w:ascii="Times New Roman" w:hAnsi="Times New Roman" w:eastAsia="黑体"/>
          <w:b w:val="0"/>
          <w:color w:val="auto"/>
          <w:sz w:val="28"/>
          <w:szCs w:val="32"/>
          <w:u w:val="none"/>
          <w:lang w:val="en-US" w:eastAsia="zh-CN"/>
        </w:rPr>
        <w:t>第十九条  其他约定</w:t>
      </w:r>
      <w:bookmarkEnd w:id="884"/>
      <w:bookmarkEnd w:id="885"/>
      <w:bookmarkEnd w:id="886"/>
      <w:bookmarkEnd w:id="887"/>
      <w:bookmarkEnd w:id="88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auto"/>
          <w:u w:val="none"/>
          <w:lang w:val="en-US" w:eastAsia="zh-CN"/>
        </w:rPr>
      </w:pPr>
      <w:r>
        <w:rPr>
          <w:rFonts w:hint="default" w:ascii="Times New Roman" w:hAnsi="Times New Roman" w:eastAsia="仿宋" w:cs="宋体"/>
          <w:color w:val="auto"/>
          <w:kern w:val="2"/>
          <w:sz w:val="28"/>
          <w:szCs w:val="24"/>
          <w:u w:val="none"/>
          <w:lang w:val="en-US" w:eastAsia="zh-CN" w:bidi="ar-SA"/>
        </w:rPr>
        <w:t>由于本项目施工范围为学生实训基地楼吊一层、一层、二层、三层局部区域，周边区域</w:t>
      </w:r>
      <w:r>
        <w:rPr>
          <w:rFonts w:hint="eastAsia" w:ascii="Times New Roman" w:hAnsi="Times New Roman" w:eastAsia="仿宋" w:cs="宋体"/>
          <w:color w:val="auto"/>
          <w:kern w:val="2"/>
          <w:sz w:val="28"/>
          <w:szCs w:val="24"/>
          <w:u w:val="none"/>
          <w:lang w:val="en-US" w:eastAsia="zh-CN" w:bidi="ar-SA"/>
        </w:rPr>
        <w:t>为学校已投入使用的教室、公区及校区道路</w:t>
      </w:r>
      <w:r>
        <w:rPr>
          <w:rFonts w:hint="default" w:ascii="Times New Roman" w:hAnsi="Times New Roman" w:eastAsia="仿宋" w:cs="宋体"/>
          <w:color w:val="auto"/>
          <w:kern w:val="2"/>
          <w:sz w:val="28"/>
          <w:szCs w:val="24"/>
          <w:u w:val="none"/>
          <w:lang w:val="en-US" w:eastAsia="zh-CN" w:bidi="ar-SA"/>
        </w:rPr>
        <w:t>，现场情况错综复杂，项目安全</w:t>
      </w:r>
      <w:r>
        <w:rPr>
          <w:rFonts w:hint="eastAsia" w:ascii="Times New Roman" w:hAnsi="Times New Roman" w:eastAsia="仿宋" w:cs="宋体"/>
          <w:color w:val="auto"/>
          <w:kern w:val="2"/>
          <w:sz w:val="28"/>
          <w:szCs w:val="24"/>
          <w:u w:val="none"/>
          <w:lang w:val="en-US" w:eastAsia="zh-CN" w:bidi="ar-SA"/>
        </w:rPr>
        <w:t>防疫</w:t>
      </w:r>
      <w:r>
        <w:rPr>
          <w:rFonts w:hint="default" w:ascii="Times New Roman" w:hAnsi="Times New Roman" w:eastAsia="仿宋" w:cs="宋体"/>
          <w:color w:val="auto"/>
          <w:kern w:val="2"/>
          <w:sz w:val="28"/>
          <w:szCs w:val="24"/>
          <w:u w:val="none"/>
          <w:lang w:val="en-US" w:eastAsia="zh-CN" w:bidi="ar-SA"/>
        </w:rPr>
        <w:t>管理严格、技术质量要求高、工期进度要求紧凑，</w:t>
      </w:r>
      <w:r>
        <w:rPr>
          <w:rFonts w:hint="eastAsia" w:ascii="Times New Roman" w:hAnsi="Times New Roman" w:eastAsia="仿宋" w:cs="宋体"/>
          <w:color w:val="auto"/>
          <w:kern w:val="2"/>
          <w:sz w:val="28"/>
          <w:szCs w:val="24"/>
          <w:u w:val="none"/>
          <w:lang w:val="en-US" w:eastAsia="zh-CN" w:bidi="ar-SA"/>
        </w:rPr>
        <w:t>并需按照学校的要求在开课期间8:00-17:00时保证现场静音施工（学生上课</w:t>
      </w:r>
      <w:r>
        <w:rPr>
          <w:rFonts w:hint="eastAsia" w:eastAsia="仿宋" w:cs="宋体"/>
          <w:color w:val="auto"/>
          <w:kern w:val="2"/>
          <w:sz w:val="28"/>
          <w:szCs w:val="24"/>
          <w:u w:val="none"/>
          <w:lang w:val="en-US" w:eastAsia="zh-CN" w:bidi="ar-SA"/>
        </w:rPr>
        <w:t>考试</w:t>
      </w:r>
      <w:r>
        <w:rPr>
          <w:rFonts w:hint="eastAsia" w:ascii="Times New Roman" w:hAnsi="Times New Roman" w:eastAsia="仿宋" w:cs="宋体"/>
          <w:color w:val="auto"/>
          <w:kern w:val="2"/>
          <w:sz w:val="28"/>
          <w:szCs w:val="24"/>
          <w:u w:val="none"/>
          <w:lang w:val="en-US" w:eastAsia="zh-CN" w:bidi="ar-SA"/>
        </w:rPr>
        <w:t>期间），</w:t>
      </w:r>
      <w:r>
        <w:rPr>
          <w:rFonts w:hint="default" w:ascii="Times New Roman" w:hAnsi="Times New Roman" w:eastAsia="仿宋" w:cs="宋体"/>
          <w:color w:val="auto"/>
          <w:kern w:val="2"/>
          <w:sz w:val="28"/>
          <w:szCs w:val="24"/>
          <w:u w:val="none"/>
          <w:lang w:val="en-US" w:eastAsia="zh-CN" w:bidi="ar-SA"/>
        </w:rPr>
        <w:t>所有国家法定节假日</w:t>
      </w:r>
      <w:r>
        <w:rPr>
          <w:rFonts w:hint="eastAsia" w:ascii="Times New Roman" w:hAnsi="Times New Roman" w:eastAsia="仿宋" w:cs="宋体"/>
          <w:color w:val="auto"/>
          <w:kern w:val="2"/>
          <w:sz w:val="28"/>
          <w:szCs w:val="24"/>
          <w:u w:val="none"/>
          <w:lang w:val="en-US" w:eastAsia="zh-CN" w:bidi="ar-SA"/>
        </w:rPr>
        <w:t>及学校放假期间需</w:t>
      </w:r>
      <w:r>
        <w:rPr>
          <w:rFonts w:hint="default" w:ascii="Times New Roman" w:hAnsi="Times New Roman" w:eastAsia="仿宋" w:cs="宋体"/>
          <w:color w:val="auto"/>
          <w:kern w:val="2"/>
          <w:sz w:val="28"/>
          <w:szCs w:val="24"/>
          <w:u w:val="none"/>
          <w:lang w:val="en-US" w:eastAsia="zh-CN" w:bidi="ar-SA"/>
        </w:rPr>
        <w:t>按照</w:t>
      </w:r>
      <w:r>
        <w:rPr>
          <w:rFonts w:hint="eastAsia" w:eastAsia="仿宋" w:cs="宋体"/>
          <w:color w:val="auto"/>
          <w:kern w:val="2"/>
          <w:sz w:val="28"/>
          <w:szCs w:val="24"/>
          <w:u w:val="none"/>
          <w:lang w:val="en-US" w:eastAsia="zh-CN" w:bidi="ar-SA"/>
        </w:rPr>
        <w:t>甲方</w:t>
      </w:r>
      <w:r>
        <w:rPr>
          <w:rFonts w:hint="default" w:ascii="Times New Roman" w:hAnsi="Times New Roman" w:eastAsia="仿宋" w:cs="宋体"/>
          <w:color w:val="auto"/>
          <w:kern w:val="2"/>
          <w:sz w:val="28"/>
          <w:szCs w:val="24"/>
          <w:u w:val="none"/>
          <w:lang w:val="en-US" w:eastAsia="zh-CN" w:bidi="ar-SA"/>
        </w:rPr>
        <w:t>、重庆建筑职业学院校方等的要求</w:t>
      </w:r>
      <w:r>
        <w:rPr>
          <w:rFonts w:hint="eastAsia" w:ascii="Times New Roman" w:hAnsi="Times New Roman" w:eastAsia="仿宋" w:cs="宋体"/>
          <w:color w:val="auto"/>
          <w:kern w:val="2"/>
          <w:sz w:val="28"/>
          <w:szCs w:val="24"/>
          <w:u w:val="none"/>
          <w:lang w:val="en-US" w:eastAsia="zh-CN" w:bidi="ar-SA"/>
        </w:rPr>
        <w:t>组织施工</w:t>
      </w:r>
      <w:r>
        <w:rPr>
          <w:rFonts w:hint="default" w:ascii="Times New Roman" w:hAnsi="Times New Roman" w:eastAsia="仿宋" w:cs="宋体"/>
          <w:color w:val="auto"/>
          <w:kern w:val="2"/>
          <w:sz w:val="28"/>
          <w:szCs w:val="24"/>
          <w:u w:val="none"/>
          <w:lang w:val="en-US" w:eastAsia="zh-CN" w:bidi="ar-SA"/>
        </w:rPr>
        <w:t>，</w:t>
      </w:r>
      <w:r>
        <w:rPr>
          <w:rFonts w:hint="eastAsia" w:ascii="Times New Roman" w:hAnsi="Times New Roman" w:eastAsia="仿宋" w:cs="宋体"/>
          <w:color w:val="auto"/>
          <w:kern w:val="2"/>
          <w:sz w:val="28"/>
          <w:szCs w:val="24"/>
          <w:u w:val="none"/>
          <w:lang w:val="en-US" w:eastAsia="zh-CN" w:bidi="ar-SA"/>
        </w:rPr>
        <w:t>不排除</w:t>
      </w:r>
      <w:r>
        <w:rPr>
          <w:rFonts w:hint="default" w:ascii="Times New Roman" w:hAnsi="Times New Roman" w:eastAsia="仿宋" w:cs="宋体"/>
          <w:color w:val="auto"/>
          <w:kern w:val="2"/>
          <w:sz w:val="28"/>
          <w:szCs w:val="24"/>
          <w:u w:val="none"/>
          <w:lang w:val="en-US" w:eastAsia="zh-CN" w:bidi="ar-SA"/>
        </w:rPr>
        <w:t>校方</w:t>
      </w:r>
      <w:r>
        <w:rPr>
          <w:rFonts w:hint="eastAsia" w:ascii="Times New Roman" w:hAnsi="Times New Roman" w:eastAsia="仿宋" w:cs="宋体"/>
          <w:color w:val="auto"/>
          <w:kern w:val="2"/>
          <w:sz w:val="28"/>
          <w:szCs w:val="24"/>
          <w:u w:val="none"/>
          <w:lang w:val="en-US" w:eastAsia="zh-CN" w:bidi="ar-SA"/>
        </w:rPr>
        <w:t>及</w:t>
      </w:r>
      <w:r>
        <w:rPr>
          <w:rFonts w:hint="eastAsia" w:eastAsia="仿宋" w:cs="宋体"/>
          <w:color w:val="auto"/>
          <w:kern w:val="2"/>
          <w:sz w:val="28"/>
          <w:szCs w:val="24"/>
          <w:u w:val="none"/>
          <w:lang w:val="en-US" w:eastAsia="zh-CN" w:bidi="ar-SA"/>
        </w:rPr>
        <w:t>甲方</w:t>
      </w:r>
      <w:r>
        <w:rPr>
          <w:rFonts w:hint="default" w:ascii="Times New Roman" w:hAnsi="Times New Roman" w:eastAsia="仿宋" w:cs="宋体"/>
          <w:color w:val="auto"/>
          <w:kern w:val="2"/>
          <w:sz w:val="28"/>
          <w:szCs w:val="24"/>
          <w:u w:val="none"/>
          <w:lang w:val="en-US" w:eastAsia="zh-CN" w:bidi="ar-SA"/>
        </w:rPr>
        <w:t>要求</w:t>
      </w:r>
      <w:r>
        <w:rPr>
          <w:rFonts w:hint="eastAsia" w:ascii="Times New Roman" w:hAnsi="Times New Roman" w:eastAsia="仿宋" w:cs="宋体"/>
          <w:color w:val="auto"/>
          <w:kern w:val="2"/>
          <w:sz w:val="28"/>
          <w:szCs w:val="24"/>
          <w:u w:val="none"/>
          <w:lang w:val="en-US" w:eastAsia="zh-CN" w:bidi="ar-SA"/>
        </w:rPr>
        <w:t>的</w:t>
      </w:r>
      <w:r>
        <w:rPr>
          <w:rFonts w:hint="default" w:ascii="Times New Roman" w:hAnsi="Times New Roman" w:eastAsia="仿宋" w:cs="宋体"/>
          <w:color w:val="auto"/>
          <w:kern w:val="2"/>
          <w:sz w:val="28"/>
          <w:szCs w:val="24"/>
          <w:u w:val="none"/>
          <w:lang w:val="en-US" w:eastAsia="zh-CN" w:bidi="ar-SA"/>
        </w:rPr>
        <w:t>政策性停工，</w:t>
      </w:r>
      <w:r>
        <w:rPr>
          <w:rFonts w:hint="eastAsia" w:eastAsia="仿宋" w:cs="宋体"/>
          <w:color w:val="auto"/>
          <w:kern w:val="2"/>
          <w:sz w:val="28"/>
          <w:szCs w:val="24"/>
          <w:u w:val="none"/>
          <w:lang w:val="en-US" w:eastAsia="zh-CN" w:bidi="ar-SA"/>
        </w:rPr>
        <w:t>乙方均在</w:t>
      </w:r>
      <w:r>
        <w:rPr>
          <w:rFonts w:hint="eastAsia" w:ascii="Times New Roman" w:hAnsi="Times New Roman" w:eastAsia="仿宋" w:cs="宋体"/>
          <w:color w:val="auto"/>
          <w:kern w:val="2"/>
          <w:sz w:val="28"/>
          <w:szCs w:val="24"/>
          <w:u w:val="none"/>
          <w:lang w:val="en-US" w:eastAsia="zh-CN" w:bidi="ar-SA"/>
        </w:rPr>
        <w:t>已知晓上述情况的前提下开展工作，后续组织施工及项目结算过程中不能以上诉原因作为工期顺延</w:t>
      </w:r>
      <w:r>
        <w:rPr>
          <w:rFonts w:hint="eastAsia" w:eastAsia="仿宋" w:cs="宋体"/>
          <w:color w:val="auto"/>
          <w:kern w:val="2"/>
          <w:sz w:val="28"/>
          <w:szCs w:val="24"/>
          <w:u w:val="none"/>
          <w:lang w:val="en-US" w:eastAsia="zh-CN" w:bidi="ar-SA"/>
        </w:rPr>
        <w:t>、</w:t>
      </w:r>
      <w:r>
        <w:rPr>
          <w:rFonts w:hint="eastAsia" w:ascii="Times New Roman" w:hAnsi="Times New Roman" w:eastAsia="仿宋" w:cs="宋体"/>
          <w:color w:val="auto"/>
          <w:kern w:val="2"/>
          <w:sz w:val="28"/>
          <w:szCs w:val="24"/>
          <w:u w:val="none"/>
          <w:lang w:val="en-US" w:eastAsia="zh-CN" w:bidi="ar-SA"/>
        </w:rPr>
        <w:t>费用调整</w:t>
      </w:r>
      <w:r>
        <w:rPr>
          <w:rFonts w:hint="eastAsia" w:eastAsia="仿宋" w:cs="宋体"/>
          <w:color w:val="auto"/>
          <w:kern w:val="2"/>
          <w:sz w:val="28"/>
          <w:szCs w:val="24"/>
          <w:u w:val="none"/>
          <w:lang w:val="en-US" w:eastAsia="zh-CN" w:bidi="ar-SA"/>
        </w:rPr>
        <w:t>和主张补偿及索赔</w:t>
      </w:r>
      <w:r>
        <w:rPr>
          <w:rFonts w:hint="eastAsia" w:ascii="Times New Roman" w:hAnsi="Times New Roman" w:eastAsia="仿宋" w:cs="宋体"/>
          <w:color w:val="auto"/>
          <w:kern w:val="2"/>
          <w:sz w:val="28"/>
          <w:szCs w:val="24"/>
          <w:u w:val="none"/>
          <w:lang w:val="en-US" w:eastAsia="zh-CN" w:bidi="ar-SA"/>
        </w:rPr>
        <w:t>的依据。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889" w:name="_Toc24106"/>
      <w:bookmarkStart w:id="890" w:name="_Toc27938"/>
      <w:bookmarkStart w:id="891" w:name="_Toc18340"/>
      <w:bookmarkStart w:id="892" w:name="_Toc19743"/>
      <w:bookmarkStart w:id="893" w:name="_Toc3760"/>
      <w:r>
        <w:rPr>
          <w:rFonts w:hint="eastAsia" w:ascii="Times New Roman" w:hAnsi="Times New Roman" w:eastAsia="黑体"/>
          <w:b w:val="0"/>
          <w:color w:val="auto"/>
          <w:sz w:val="28"/>
          <w:szCs w:val="32"/>
          <w:lang w:val="en-US" w:eastAsia="zh-CN"/>
        </w:rPr>
        <w:t>第二十条  附则</w:t>
      </w:r>
      <w:bookmarkEnd w:id="889"/>
      <w:bookmarkEnd w:id="890"/>
      <w:bookmarkEnd w:id="891"/>
      <w:bookmarkEnd w:id="892"/>
      <w:bookmarkEnd w:id="893"/>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default" w:ascii="Times New Roman" w:hAnsi="Times New Roman" w:eastAsia="仿宋" w:cs="宋体"/>
          <w:color w:val="auto"/>
          <w:sz w:val="28"/>
          <w:szCs w:val="24"/>
          <w:lang w:val="en-US" w:eastAsia="zh-CN"/>
        </w:rPr>
      </w:pPr>
      <w:r>
        <w:rPr>
          <w:rFonts w:hint="eastAsia" w:eastAsia="仿宋" w:cs="宋体"/>
          <w:color w:val="auto"/>
          <w:sz w:val="28"/>
          <w:szCs w:val="24"/>
          <w:lang w:val="en-US" w:eastAsia="zh-CN"/>
        </w:rPr>
        <w:t>20</w:t>
      </w:r>
      <w:r>
        <w:rPr>
          <w:rFonts w:hint="eastAsia" w:ascii="Times New Roman" w:hAnsi="Times New Roman" w:eastAsia="仿宋" w:cs="宋体"/>
          <w:color w:val="auto"/>
          <w:sz w:val="28"/>
          <w:szCs w:val="24"/>
          <w:lang w:val="en-US" w:eastAsia="zh-CN"/>
        </w:rPr>
        <w:t>.1 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w:t>
      </w:r>
      <w:r>
        <w:rPr>
          <w:rFonts w:hint="eastAsia" w:eastAsia="仿宋" w:cs="宋体"/>
          <w:color w:val="auto"/>
          <w:sz w:val="28"/>
          <w:szCs w:val="24"/>
          <w:lang w:val="en-US" w:eastAsia="zh-CN"/>
        </w:rPr>
        <w:t>若</w:t>
      </w:r>
      <w:r>
        <w:rPr>
          <w:rFonts w:hint="eastAsia" w:ascii="Times New Roman" w:hAnsi="Times New Roman" w:eastAsia="仿宋" w:cs="宋体"/>
          <w:color w:val="auto"/>
          <w:sz w:val="28"/>
          <w:szCs w:val="24"/>
          <w:lang w:val="en-US" w:eastAsia="zh-CN"/>
        </w:rPr>
        <w:t>不能达成一致意见的，按现行法律法规、部门规章以及重庆市有关规定执行。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4"/>
          <w:lang w:val="en-US" w:eastAsia="zh-CN"/>
        </w:rPr>
      </w:pPr>
      <w:bookmarkStart w:id="894" w:name="_Toc27919"/>
      <w:r>
        <w:rPr>
          <w:rFonts w:hint="eastAsia" w:eastAsia="仿宋" w:cs="宋体"/>
          <w:color w:val="auto"/>
          <w:sz w:val="28"/>
          <w:szCs w:val="24"/>
          <w:lang w:val="en-US" w:eastAsia="zh-CN"/>
        </w:rPr>
        <w:t>20</w:t>
      </w:r>
      <w:r>
        <w:rPr>
          <w:rFonts w:hint="eastAsia" w:ascii="Times New Roman" w:hAnsi="Times New Roman" w:eastAsia="仿宋" w:cs="宋体"/>
          <w:color w:val="auto"/>
          <w:sz w:val="28"/>
          <w:szCs w:val="24"/>
          <w:lang w:val="en-US" w:eastAsia="zh-CN"/>
        </w:rPr>
        <w:t>.2 本合同在双方签字、盖章后即生法律效力。</w:t>
      </w:r>
      <w:bookmarkEnd w:id="89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4"/>
          <w:lang w:val="en-US" w:eastAsia="zh-CN"/>
        </w:rPr>
      </w:pPr>
      <w:r>
        <w:rPr>
          <w:rFonts w:hint="eastAsia" w:eastAsia="仿宋" w:cs="宋体"/>
          <w:color w:val="auto"/>
          <w:kern w:val="2"/>
          <w:sz w:val="28"/>
          <w:szCs w:val="24"/>
          <w:lang w:val="en-US" w:eastAsia="zh-CN" w:bidi="ar-SA"/>
        </w:rPr>
        <w:t>20.3</w:t>
      </w:r>
      <w:r>
        <w:rPr>
          <w:rFonts w:hint="eastAsia" w:ascii="Times New Roman" w:hAnsi="Times New Roman" w:eastAsia="仿宋" w:cs="宋体"/>
          <w:color w:val="auto"/>
          <w:sz w:val="28"/>
          <w:szCs w:val="24"/>
          <w:lang w:val="en-US" w:eastAsia="zh-CN"/>
        </w:rPr>
        <w:t xml:space="preserve"> </w:t>
      </w:r>
      <w:r>
        <w:rPr>
          <w:rFonts w:hint="eastAsia" w:ascii="Times New Roman" w:hAnsi="Times New Roman" w:eastAsia="仿宋" w:cs="宋体"/>
          <w:color w:val="auto"/>
          <w:sz w:val="28"/>
          <w:szCs w:val="24"/>
        </w:rPr>
        <w:t>本合同</w:t>
      </w:r>
      <w:r>
        <w:rPr>
          <w:rFonts w:hint="eastAsia" w:ascii="Times New Roman" w:hAnsi="Times New Roman" w:eastAsia="仿宋" w:cs="宋体"/>
          <w:color w:val="auto"/>
          <w:sz w:val="28"/>
          <w:szCs w:val="24"/>
          <w:lang w:val="en-US" w:eastAsia="zh-CN"/>
        </w:rPr>
        <w:t>一式</w:t>
      </w:r>
      <w:r>
        <w:rPr>
          <w:rFonts w:hint="eastAsia" w:eastAsia="仿宋" w:cs="宋体"/>
          <w:color w:val="auto"/>
          <w:sz w:val="28"/>
          <w:szCs w:val="24"/>
          <w:u w:val="single"/>
          <w:lang w:val="en-US" w:eastAsia="zh-CN"/>
        </w:rPr>
        <w:t>伍</w:t>
      </w:r>
      <w:r>
        <w:rPr>
          <w:rFonts w:hint="eastAsia" w:ascii="Times New Roman" w:hAnsi="Times New Roman" w:eastAsia="仿宋" w:cs="宋体"/>
          <w:color w:val="auto"/>
          <w:sz w:val="28"/>
          <w:szCs w:val="24"/>
        </w:rPr>
        <w:t>份，具有同等效力，</w:t>
      </w:r>
      <w:r>
        <w:rPr>
          <w:rFonts w:hint="eastAsia" w:ascii="Times New Roman" w:hAnsi="Times New Roman" w:eastAsia="仿宋" w:cs="宋体"/>
          <w:color w:val="auto"/>
          <w:sz w:val="28"/>
          <w:szCs w:val="24"/>
          <w:lang w:eastAsia="zh-CN"/>
        </w:rPr>
        <w:t>甲方</w:t>
      </w:r>
      <w:r>
        <w:rPr>
          <w:rFonts w:hint="eastAsia" w:ascii="Times New Roman" w:hAnsi="Times New Roman" w:eastAsia="仿宋" w:cs="宋体"/>
          <w:color w:val="auto"/>
          <w:sz w:val="28"/>
          <w:szCs w:val="24"/>
        </w:rPr>
        <w:t>执</w:t>
      </w:r>
      <w:r>
        <w:rPr>
          <w:rFonts w:hint="eastAsia" w:eastAsia="仿宋" w:cs="宋体"/>
          <w:color w:val="auto"/>
          <w:sz w:val="28"/>
          <w:szCs w:val="24"/>
          <w:u w:val="single"/>
          <w:lang w:val="en-US" w:eastAsia="zh-CN"/>
        </w:rPr>
        <w:t>叁</w:t>
      </w:r>
      <w:r>
        <w:rPr>
          <w:rFonts w:hint="eastAsia" w:ascii="Times New Roman" w:hAnsi="Times New Roman" w:eastAsia="仿宋" w:cs="宋体"/>
          <w:color w:val="auto"/>
          <w:sz w:val="28"/>
          <w:szCs w:val="24"/>
        </w:rPr>
        <w:t>份，</w:t>
      </w:r>
      <w:r>
        <w:rPr>
          <w:rFonts w:hint="eastAsia" w:ascii="Times New Roman" w:hAnsi="Times New Roman" w:eastAsia="仿宋" w:cs="宋体"/>
          <w:color w:val="auto"/>
          <w:sz w:val="28"/>
          <w:szCs w:val="24"/>
          <w:lang w:eastAsia="zh-CN"/>
        </w:rPr>
        <w:t>乙方</w:t>
      </w:r>
      <w:r>
        <w:rPr>
          <w:rFonts w:hint="eastAsia" w:ascii="Times New Roman" w:hAnsi="Times New Roman" w:eastAsia="仿宋" w:cs="宋体"/>
          <w:color w:val="auto"/>
          <w:sz w:val="28"/>
          <w:szCs w:val="24"/>
        </w:rPr>
        <w:t>执</w:t>
      </w:r>
      <w:r>
        <w:rPr>
          <w:rFonts w:hint="eastAsia" w:eastAsia="仿宋" w:cs="宋体"/>
          <w:color w:val="auto"/>
          <w:sz w:val="28"/>
          <w:szCs w:val="24"/>
          <w:u w:val="single"/>
          <w:lang w:val="en-US" w:eastAsia="zh-CN"/>
        </w:rPr>
        <w:t>貮</w:t>
      </w:r>
      <w:r>
        <w:rPr>
          <w:rFonts w:hint="eastAsia" w:ascii="Times New Roman" w:hAnsi="Times New Roman" w:eastAsia="仿宋" w:cs="宋体"/>
          <w:color w:val="auto"/>
          <w:sz w:val="28"/>
          <w:szCs w:val="24"/>
        </w:rPr>
        <w:t>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4"/>
          <w:lang w:val="en-US" w:eastAsia="zh-CN"/>
        </w:rPr>
      </w:pPr>
      <w:r>
        <w:rPr>
          <w:rFonts w:hint="eastAsia" w:eastAsia="仿宋" w:cs="宋体"/>
          <w:color w:val="auto"/>
          <w:sz w:val="28"/>
          <w:szCs w:val="24"/>
          <w:lang w:val="en-US" w:eastAsia="zh-CN"/>
        </w:rPr>
        <w:t>20</w:t>
      </w:r>
      <w:r>
        <w:rPr>
          <w:rFonts w:hint="eastAsia" w:ascii="Times New Roman" w:hAnsi="Times New Roman" w:eastAsia="仿宋" w:cs="宋体"/>
          <w:color w:val="auto"/>
          <w:sz w:val="28"/>
          <w:szCs w:val="24"/>
          <w:lang w:val="en-US" w:eastAsia="zh-CN"/>
        </w:rPr>
        <w:t>.</w:t>
      </w:r>
      <w:r>
        <w:rPr>
          <w:rFonts w:hint="eastAsia" w:eastAsia="仿宋" w:cs="宋体"/>
          <w:color w:val="auto"/>
          <w:sz w:val="28"/>
          <w:szCs w:val="24"/>
          <w:lang w:val="en-US" w:eastAsia="zh-CN"/>
        </w:rPr>
        <w:t>4 附件</w:t>
      </w:r>
      <w:r>
        <w:rPr>
          <w:rFonts w:hint="eastAsia" w:ascii="Times New Roman" w:hAnsi="Times New Roman" w:eastAsia="仿宋" w:cs="宋体"/>
          <w:color w:val="auto"/>
          <w:sz w:val="28"/>
          <w:szCs w:val="24"/>
          <w:lang w:eastAsia="zh-CN"/>
        </w:rPr>
        <w:t>：</w:t>
      </w:r>
      <w:r>
        <w:rPr>
          <w:rFonts w:hint="eastAsia" w:ascii="Times New Roman" w:hAnsi="Times New Roman" w:eastAsia="仿宋" w:cs="宋体"/>
          <w:color w:val="auto"/>
          <w:sz w:val="28"/>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附件一：《安全环保文明施工管理协议书》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附件二：</w:t>
      </w:r>
      <w:r>
        <w:rPr>
          <w:rFonts w:hint="eastAsia" w:ascii="仿宋" w:hAnsi="仿宋" w:eastAsia="仿宋" w:cs="仿宋"/>
          <w:color w:val="auto"/>
          <w:sz w:val="28"/>
          <w:szCs w:val="28"/>
          <w:lang w:val="en-US" w:eastAsia="zh-CN"/>
        </w:rPr>
        <w:t>《廉洁责任书》</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附件三：《工程质量保修书》</w:t>
      </w:r>
    </w:p>
    <w:p>
      <w:pPr>
        <w:pageBreakBefore w:val="0"/>
        <w:kinsoku/>
        <w:overflowPunct/>
        <w:topLinePunct w:val="0"/>
        <w:bidi w:val="0"/>
        <w:spacing w:line="360" w:lineRule="auto"/>
        <w:ind w:firstLine="560" w:firstLineChars="200"/>
        <w:rPr>
          <w:rFonts w:hint="default"/>
          <w:color w:val="auto"/>
          <w:lang w:val="en-US" w:eastAsia="zh-CN"/>
        </w:rPr>
      </w:pPr>
      <w:r>
        <w:rPr>
          <w:rFonts w:hint="eastAsia" w:ascii="仿宋" w:hAnsi="仿宋" w:eastAsia="仿宋" w:cs="仿宋"/>
          <w:color w:val="auto"/>
          <w:kern w:val="2"/>
          <w:sz w:val="28"/>
          <w:szCs w:val="28"/>
          <w:lang w:val="en-US" w:eastAsia="zh-CN" w:bidi="ar-SA"/>
        </w:rPr>
        <w:t>附件四：《保障建筑工人工资支付协议》</w:t>
      </w:r>
    </w:p>
    <w:p>
      <w:pPr>
        <w:pStyle w:val="12"/>
        <w:rPr>
          <w:rFonts w:hint="eastAsia" w:ascii="仿宋" w:hAnsi="仿宋" w:eastAsia="仿宋" w:cs="仿宋"/>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36" w:lineRule="exact"/>
        <w:ind w:firstLine="560" w:firstLineChars="200"/>
        <w:textAlignment w:val="auto"/>
        <w:outlineLvl w:val="9"/>
        <w:rPr>
          <w:rFonts w:hint="eastAsia" w:ascii="Times New Roman" w:hAnsi="Times New Roman" w:eastAsia="仿宋" w:cs="宋体"/>
          <w:color w:val="auto"/>
          <w:sz w:val="28"/>
          <w:szCs w:val="24"/>
          <w:lang w:eastAsia="zh-CN"/>
        </w:rPr>
      </w:pPr>
      <w:r>
        <w:rPr>
          <w:rFonts w:hint="eastAsia" w:ascii="Times New Roman" w:hAnsi="Times New Roman" w:eastAsia="仿宋" w:cs="宋体"/>
          <w:color w:val="auto"/>
          <w:sz w:val="28"/>
          <w:szCs w:val="24"/>
          <w:lang w:eastAsia="zh-CN"/>
        </w:rPr>
        <w:t>（</w:t>
      </w:r>
      <w:r>
        <w:rPr>
          <w:rFonts w:hint="eastAsia" w:ascii="Times New Roman" w:hAnsi="Times New Roman" w:eastAsia="仿宋" w:cs="宋体"/>
          <w:color w:val="auto"/>
          <w:sz w:val="28"/>
          <w:szCs w:val="24"/>
          <w:lang w:val="en-US" w:eastAsia="zh-CN"/>
        </w:rPr>
        <w:t>以下无正文</w:t>
      </w:r>
      <w:r>
        <w:rPr>
          <w:rFonts w:hint="eastAsia" w:ascii="Times New Roman" w:hAnsi="Times New Roman" w:eastAsia="仿宋" w:cs="宋体"/>
          <w:color w:val="auto"/>
          <w:sz w:val="28"/>
          <w:szCs w:val="24"/>
          <w:lang w:eastAsia="zh-CN"/>
        </w:rPr>
        <w:t>）</w:t>
      </w:r>
    </w:p>
    <w:p>
      <w:pPr>
        <w:pStyle w:val="12"/>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本页无正文，仅为签章页</w:t>
      </w:r>
      <w:r>
        <w:rPr>
          <w:rFonts w:hint="eastAsia" w:ascii="仿宋" w:hAnsi="仿宋" w:eastAsia="仿宋" w:cs="仿宋"/>
          <w:color w:val="auto"/>
          <w:sz w:val="28"/>
          <w:szCs w:val="28"/>
          <w:lang w:eastAsia="zh-CN"/>
        </w:rPr>
        <w:t>）</w:t>
      </w:r>
    </w:p>
    <w:p>
      <w:pPr>
        <w:rPr>
          <w:rFonts w:hint="eastAsia"/>
          <w:lang w:eastAsia="zh-CN"/>
        </w:rPr>
      </w:pPr>
    </w:p>
    <w:p>
      <w:pPr>
        <w:rPr>
          <w:rFonts w:hint="eastAsia"/>
          <w:color w:val="auto"/>
          <w:lang w:eastAsia="zh-CN"/>
        </w:rPr>
      </w:pPr>
    </w:p>
    <w:p>
      <w:pPr>
        <w:pStyle w:val="12"/>
        <w:rPr>
          <w:rFonts w:hint="eastAsia"/>
          <w:color w:val="auto"/>
          <w:lang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联系电话：</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通讯地址：</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统一社会信用代码：</w:t>
            </w:r>
          </w:p>
        </w:tc>
        <w:tc>
          <w:tcPr>
            <w:tcW w:w="4840" w:type="dxa"/>
            <w:tcBorders>
              <w:tl2br w:val="nil"/>
              <w:tr2bl w:val="nil"/>
            </w:tcBorders>
          </w:tcPr>
          <w:p>
            <w:pPr>
              <w:pStyle w:val="12"/>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统一社会信用代码：</w:t>
            </w:r>
          </w:p>
        </w:tc>
      </w:tr>
    </w:tbl>
    <w:p>
      <w:pPr>
        <w:pStyle w:val="12"/>
        <w:rPr>
          <w:rFonts w:hint="eastAsia" w:ascii="仿宋" w:hAnsi="仿宋" w:eastAsia="仿宋" w:cs="仿宋"/>
          <w:color w:val="auto"/>
          <w:sz w:val="28"/>
          <w:szCs w:val="28"/>
          <w:lang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27" w:beforeLines="100" w:after="327" w:afterLines="100" w:line="360" w:lineRule="auto"/>
        <w:jc w:val="center"/>
        <w:textAlignment w:val="auto"/>
        <w:outlineLvl w:val="2"/>
        <w:rPr>
          <w:rFonts w:hint="eastAsia" w:ascii="黑体" w:hAnsi="黑体" w:eastAsia="黑体" w:cs="黑体"/>
          <w:b/>
          <w:bCs/>
          <w:color w:val="auto"/>
          <w:sz w:val="36"/>
          <w:szCs w:val="36"/>
        </w:rPr>
      </w:pPr>
      <w:bookmarkStart w:id="895" w:name="_Toc20171893"/>
      <w:bookmarkEnd w:id="895"/>
      <w:bookmarkStart w:id="896" w:name="_Toc20171709"/>
      <w:bookmarkEnd w:id="896"/>
      <w:bookmarkStart w:id="897" w:name="_Toc7971"/>
      <w:bookmarkStart w:id="898" w:name="_Toc1130"/>
      <w:bookmarkStart w:id="899" w:name="_Toc28568"/>
      <w:bookmarkStart w:id="900" w:name="_Toc701"/>
      <w:bookmarkStart w:id="901" w:name="_Toc14866"/>
      <w:bookmarkStart w:id="902" w:name="_Toc95830734"/>
      <w:bookmarkStart w:id="903" w:name="_Toc95830626"/>
      <w:bookmarkStart w:id="904" w:name="_Hlk59010609"/>
      <w:r>
        <w:rPr>
          <w:rFonts w:hint="eastAsia" w:ascii="黑体" w:hAnsi="黑体" w:eastAsia="黑体" w:cs="黑体"/>
          <w:b/>
          <w:bCs/>
          <w:color w:val="auto"/>
          <w:sz w:val="36"/>
          <w:szCs w:val="36"/>
          <w:lang w:val="en-US" w:eastAsia="zh-CN"/>
        </w:rPr>
        <w:t>附件一：</w:t>
      </w:r>
      <w:r>
        <w:rPr>
          <w:rFonts w:hint="eastAsia" w:ascii="黑体" w:hAnsi="黑体" w:eastAsia="黑体" w:cs="黑体"/>
          <w:b/>
          <w:bCs/>
          <w:color w:val="auto"/>
          <w:sz w:val="36"/>
          <w:szCs w:val="36"/>
        </w:rPr>
        <w:t>安全环保文明施工管理协议书</w:t>
      </w:r>
      <w:bookmarkEnd w:id="897"/>
      <w:bookmarkEnd w:id="898"/>
      <w:bookmarkEnd w:id="899"/>
      <w:bookmarkEnd w:id="900"/>
      <w:bookmarkEnd w:id="901"/>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u w:val="single"/>
          <w:lang w:val="en-US" w:eastAsia="zh-CN"/>
        </w:rPr>
        <w:t xml:space="preserve">   重庆市建筑科学研究院有限公司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u w:val="single"/>
          <w:lang w:val="en-US" w:eastAsia="zh-CN"/>
        </w:rPr>
        <w:t xml:space="preserve">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根据《中华人民共和国安全生产法》《</w:t>
      </w:r>
      <w:r>
        <w:rPr>
          <w:rFonts w:hint="eastAsia" w:ascii="仿宋" w:hAnsi="仿宋" w:eastAsia="仿宋" w:cs="仿宋"/>
          <w:color w:val="auto"/>
          <w:sz w:val="28"/>
          <w:szCs w:val="28"/>
          <w:lang w:val="en-US" w:eastAsia="zh-CN"/>
        </w:rPr>
        <w:t>重庆市</w:t>
      </w:r>
      <w:r>
        <w:rPr>
          <w:rFonts w:hint="eastAsia" w:ascii="仿宋" w:hAnsi="仿宋" w:eastAsia="仿宋" w:cs="仿宋"/>
          <w:color w:val="auto"/>
          <w:sz w:val="28"/>
          <w:szCs w:val="28"/>
        </w:rPr>
        <w:t>安全生产条例》《中华人民共和国环境保护法》等相关规定，为进一步细化施工管理，明确相关方安全管理责任与权利，预防各类生产安全事故的发生，本着实事求是、平等自愿的原则，经友好协商签订本协议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05" w:name="_Toc27812"/>
      <w:r>
        <w:rPr>
          <w:rFonts w:hint="eastAsia" w:ascii="仿宋" w:hAnsi="仿宋" w:eastAsia="仿宋" w:cs="仿宋"/>
          <w:b/>
          <w:bCs/>
          <w:color w:val="auto"/>
          <w:sz w:val="28"/>
          <w:szCs w:val="28"/>
        </w:rPr>
        <w:t>第一条 甲、乙双方的权利与义务</w:t>
      </w:r>
      <w:bookmarkEnd w:id="905"/>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甲乙双方必须认真贯彻执行国家、地方有关安全环保、劳动保护、职业卫生、文明稳定等的法律、法规、规章、制度，加强生产安全管理，健全安全生产规章制度。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06" w:name="_Toc13327"/>
      <w:r>
        <w:rPr>
          <w:rFonts w:hint="eastAsia" w:ascii="仿宋" w:hAnsi="仿宋" w:eastAsia="仿宋" w:cs="仿宋"/>
          <w:b/>
          <w:bCs/>
          <w:color w:val="auto"/>
          <w:sz w:val="28"/>
          <w:szCs w:val="28"/>
        </w:rPr>
        <w:t>一、甲方权利与义务</w:t>
      </w:r>
      <w:bookmarkEnd w:id="906"/>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（一）甲方权利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1.甲方有权督促乙方遵守国家有关安全、环保的法规、标准和规章制度。</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2.甲方有权查验乙方的相关资质证书并要求提供复印件。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甲方有权对乙方安全防范措施的落实情况进行监督、检查和不符合项进行考核。发现重大事故隐患和违章、冒险作业行为的，有权制止和纠正；对风险较大的隐患或因乙方管理混乱不服从甲方现场监管的，甲方有权要求停止作业，并按合同给予相应的违约处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（二）甲方义务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将乙方纳入项目整体监管范畴；并提供应当由甲方负责的相关配合。</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07" w:name="_Toc31897"/>
      <w:r>
        <w:rPr>
          <w:rFonts w:hint="eastAsia" w:ascii="仿宋" w:hAnsi="仿宋" w:eastAsia="仿宋" w:cs="仿宋"/>
          <w:b/>
          <w:bCs/>
          <w:color w:val="auto"/>
          <w:sz w:val="28"/>
          <w:szCs w:val="28"/>
        </w:rPr>
        <w:t>二、乙方权利与义务</w:t>
      </w:r>
      <w:bookmarkEnd w:id="907"/>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（一）乙方权利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1.乙方有权要求甲方提供必需的施工图纸</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资料；</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2.乙方有权要求甲方提供必需的水、电等能源接口信息。</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（二）乙方的义务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1.乙方应主动向甲方提供合法有效的营业执照及有效证件或资质证书等证书复印件，有关人员的资质和文件，物资合格书等文件。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2.乙方应遵守国家、地方及甲方相关项目管理制度，严格按操作规程施工，落实安全防范措施，正确使用劳动防护用品，特种作业人员和特种设备作业人员持证上岗。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3.乙方应指定专人负责安全管理，实施作业过程的安全检查。</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4.乙方作业完工应做到工完、料尽、场地清，严禁随意倾倒“三废”，确保安全文明作业，不留安全隐患。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5.同一施工区域有两个及以上的施工单位时，乙方应通知甲方组织第三方协商，共同确定交叉作业安全负责人，统一协调指挥。</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08" w:name="_Toc21001"/>
      <w:r>
        <w:rPr>
          <w:rFonts w:hint="eastAsia" w:ascii="仿宋" w:hAnsi="仿宋" w:eastAsia="仿宋" w:cs="仿宋"/>
          <w:b/>
          <w:bCs/>
          <w:color w:val="auto"/>
          <w:sz w:val="28"/>
          <w:szCs w:val="28"/>
        </w:rPr>
        <w:t>第二条 安全环保文明施工管理具体规定</w:t>
      </w:r>
      <w:bookmarkEnd w:id="908"/>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 乙方在甲方区域实施交验货等行为时，适用安全环保文明施工管理规定：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在运输材料前，乙方必须与承运车辆车主先达成协议，约定双方的权利和义务，并且乙方须将承运车辆的车辆行驶证、道路运输许可证以及驾驶人员的身份证、机动车辆驾驶证和保险单复印件（如有）等经车主或驾驶员签字确认后报送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2.验收时乙方必须提供产品合格证、检测报告等质量保证资料作为其验收的附件。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3.乙方运输车辆在运输作业中必须采用有效的防护措施、遮盖严实，达到环保要求，若造成扬尘污染、抛洒污染或噪声污染，被有关部门处予行政罚款的，由乙方承担违规处罚费用及相应责任。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进入甲方施工现场，乙方运输车辆必须服从甲方工作人员统一调度和指挥，严格遵守甲方现场的管理制度，积极维护施工现场的交通秩序，按照甲方现场人员指定的区域停车、待卸，不得乱停、乱靠、乱卸，保证施工现场道路的畅通和运输安全；若不听从指挥，因此所发生的安全事故或财产损失，由乙方承担全部责任并支付一切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5.乙方必须确保安全生产条件，因乙方自身组织原因，造成安全管理混乱，违规、违章导致发生各类人身、财产事故的，由乙方自行负责。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6、施工合同履行期间，发生的一切安全事故，均由乙方负责处理，与甲方无关。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（二）乙方在甲方区域实施物资设备安装、维修等行为时，适用安全环保文明施工管理规定：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909" w:name="_Toc25157"/>
      <w:r>
        <w:rPr>
          <w:rFonts w:hint="eastAsia" w:ascii="仿宋" w:hAnsi="仿宋" w:eastAsia="仿宋" w:cs="仿宋"/>
          <w:color w:val="auto"/>
          <w:sz w:val="28"/>
          <w:szCs w:val="28"/>
        </w:rPr>
        <w:t>1.乙方应向甲方提供安装资质证书和经审批的专项方案。</w:t>
      </w:r>
      <w:bookmarkEnd w:id="909"/>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2.作业人员必须经过专业知识培训并持证上岗，乙方向甲方提供证书复印件。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910" w:name="_Toc26330"/>
      <w:r>
        <w:rPr>
          <w:rFonts w:hint="eastAsia" w:ascii="仿宋" w:hAnsi="仿宋" w:eastAsia="仿宋" w:cs="仿宋"/>
          <w:color w:val="auto"/>
          <w:sz w:val="28"/>
          <w:szCs w:val="28"/>
        </w:rPr>
        <w:t>3.乙方负责人应对上岗人员进行安全技术交底，并形成书面资料。</w:t>
      </w:r>
      <w:bookmarkEnd w:id="910"/>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4.作业人员必须佩戴好安全帽、安全带、防护手套等必要的劳动防护用品，作业过程中严格执行乙方的安全操作规程，落实各项防护措施。</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5.在物资设备安装、调试、保修过程中发生的安全事故，由乙方负全部责任。在使用过程中发生的安全事故的，经查明原因责任，由责任方负责。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安装或维修过程中因安全措施不到位、意外事件、人为疏忽等非甲方原因而导致乙方自身员工或者其他任何第三人人身及财产受到损害的，因此而产生的一切赔偿费用均由乙方承担，甲方概不承担任何责任和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安装及维修过程中发生安全事故的，乙方应及时处理保证不给甲方造成影响。若乙方不处理或处理不及时导致第三方找甲方索赔的，甲方有权代乙方进行协商，乙方无条件同意甲方处理意见，所发生的一切费用甲方从乙方应得款项中直接扣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 乙方在甲方区域进行工程施工等作业时，适用安全环保文明施工管理规定：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1.乙方进入施工现场作业时，必须按照行业主管部门的有关施工管理规定，办理相关手续。</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 乙方参加本工程施工人员必须持有合法的务工手续，二证齐全（身份证、劳务工上岗证），人证必须相符，人员更换必须及时通报甲方并补办手续，不得私招乱雇社会闲散人员和未成年人进入工地，对违反上述规定造成的任何后果，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 乙方参加本工程施工的特种作业人员（如挖掘机、电工、运输机械司机等）必须持有劳动部门颁发的特种作业人员操作证，并经身体健康检查合格后方能上岗作业，否则发生的任何后果，应由乙方承担全部责任。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 乙方施工管理人员，必须按国家、行业及市有关部门的规定持证上岗。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 乙方应将参加本工程施工的人员花名册（造册内容：姓名、年龄、住址、三证号码及特殊工种岗位证书等）报甲方备案。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人员进入施工作业前，乙方必须进行入场职业健康安全教育和特种作业人员的体检，不接受入场教育和体检不合格人员一律不得上岗作业，乙方违反条款规定而造成的后果，应由乙方承担全部责任。在进行入场职业安全卫生教育后，乙方应在甲方的安全教育记录上予以签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在乙方施工过程中，甲方工作人员有违章指挥、强令冒险作业的行为，乙方有权制止违章行为，并提出批评、拒绝执行以及检举、控告的权利；乙方明知甲方人员违章指挥而不制止并造成损失，乙方承担连带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4.在施工过程中，乙方必须自觉遵守法律法纪，遵守甲方安全生产统筹管理规章制度、措施、规定。严格遵守安全操作规程。对违反本条款所造成的损失和后果，由乙方承担。情节严重的甲方有权终止合同。</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5.在为甲方工作期间，乙方自带或外租的设备、设施，必须符合规范要求，经验收合格后方可进场。凡未经验收批准，擅自投入使用，由此造成的损失，由乙方承担。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施工期内，要爱护甲方的各种设施、设备。严禁偷盗、挪用、破坏施工现场的安全防护设施、警示标志、材料、机械设备以及消防器材等。凡乙方人员违反本条款，一经发现加倍处罚，严肃处理，情节严重的移送公安机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7.在施工期内，乙方的生活区要符合甲方文明工地的要求，搞好并保持宿舍的环境卫生。</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8.乙方人员必须遵守劳动纪律，在工作中按规定正确佩带和使用个人防护用品，严禁袒胸露背，穿拖鞋上岗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严禁骚扰学校人员，严禁在学校宿舍区域闲逛</w:t>
      </w:r>
      <w:r>
        <w:rPr>
          <w:rFonts w:hint="eastAsia" w:ascii="仿宋" w:hAnsi="仿宋" w:eastAsia="仿宋" w:cs="仿宋"/>
          <w:color w:val="auto"/>
          <w:sz w:val="28"/>
          <w:szCs w:val="28"/>
        </w:rPr>
        <w:t>，严禁在宿舍内私拉电线；冬季，严禁在宿舍内使用电炉子等电器设备；夏季，严禁到河塘中游泳、洗澡。凡乙方人员违反本条款规定，所造成的损失由乙方承担。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9.夜间施工服从统一管理，做到不扰民。如因此造成的民事纠纷由乙方自行负责。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10.在施工过程中，应特别注意扬尘的防护措施。在各车辆进出口及平交道口设置专人对路面进行清扫、保洁并在路口处铺设麻袋，派专用洒水车对施工全线进行洒水消尘。</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11.乙方应在施工过程中，特别注意深坑深沟的安全防护（如设置安全警示标志等）。如因安全防护措施不到位，由此引发的安全事故由乙方负全责。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12.因乙方的过错，造成甲方或他人财产或人身损害或甲方被处罚，乙方应负赔偿责任。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乙方应按照甲方要求，根据进场人数、施工长度，配备专（兼）职安全员。乙方安全管理人员必须认真履行职责，严格管理，积极配合甲方作好乙方人员对施工项目的日常安全教育和检查工作，乙方安全员应接受甲方安全部门和工地安全员监督、检查、指导和统一管理。乙方还应将指定安全员名单交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.乙方应严格按照施工现场安全、卫生检查要点，不定期的组织施工现场检查和整改，检查应有记录，整改要有措施，同时应以书面形式及时通报甲方。</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.乙方施工人员有权拒绝来自各方的违章指挥，严格按照安全操作规程施工。严禁违章作业、违反劳动纪律、野蛮施工。因违章作业、违反劳动纪律、野蛮施工而造成的事故和损失由乙方承担全部责任。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.乙方应严格执行甲方制定的或提供的有关易燃、易爆、易损、有毒、危险品和防火、防盗、成品保护及环卫等方面的有关规定，对违反上述规定而造成的一切严重后果应由乙方承担全部责任。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.乙方在施工期间必备的劳保用品如安全帽、安全带、手套、绝缘鞋，必须是符合国家标准的合格产品。</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乙方在施工期中发生的任何工伤事故，必须迅速通报甲方，重伤以上事故还应作好事故调查配合工作，同时应按主管部门有关规定作好伤者的医治、生活安置、民事补偿等各项工作，由于打架斗殴或其他原因造成的伤害，由乙方协助公安机关进行处理。</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.对于乙方因疏于管理，违反上述规定而被地方政府部门处以罚款或责令停工整顿，所造成的一切损失，应由乙方承担。</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乙方因为挪用安全生产费用导致发生生产安全事故，造成人员伤亡、财产损失的，全部损失及法律责任均由乙方自行负责。</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11" w:name="_Toc17518"/>
      <w:r>
        <w:rPr>
          <w:rFonts w:hint="eastAsia" w:ascii="仿宋" w:hAnsi="仿宋" w:eastAsia="仿宋" w:cs="仿宋"/>
          <w:b/>
          <w:bCs/>
          <w:color w:val="auto"/>
          <w:sz w:val="28"/>
          <w:szCs w:val="28"/>
        </w:rPr>
        <w:t>第四条 环境保护规定</w:t>
      </w:r>
      <w:bookmarkEnd w:id="911"/>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912" w:name="_Toc2084"/>
      <w:r>
        <w:rPr>
          <w:rFonts w:hint="eastAsia" w:ascii="仿宋" w:hAnsi="仿宋" w:eastAsia="仿宋" w:cs="仿宋"/>
          <w:color w:val="auto"/>
          <w:sz w:val="28"/>
          <w:szCs w:val="28"/>
        </w:rPr>
        <w:t>（一）有形废弃物处置</w:t>
      </w:r>
      <w:bookmarkEnd w:id="912"/>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1.外来施工材料产生的废弃物由乙方自行带走并按环境保护要求处置；</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2.所有危险废弃物的处置都必须合法，谁处置、谁负责。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913" w:name="_Toc3165"/>
      <w:r>
        <w:rPr>
          <w:rFonts w:hint="eastAsia" w:ascii="仿宋" w:hAnsi="仿宋" w:eastAsia="仿宋" w:cs="仿宋"/>
          <w:color w:val="auto"/>
          <w:sz w:val="28"/>
          <w:szCs w:val="28"/>
        </w:rPr>
        <w:t>（二）无形废弃物的排放</w:t>
      </w:r>
      <w:bookmarkEnd w:id="913"/>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1.施工中的废水、废气、噪声排放，严格按规定执行，不得污染环境和发生投诉；</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2.设备调试可能导致水、气、声超标排放时，乙方必须制订方案提交甲方审查、认可。</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914" w:name="_Toc9104"/>
      <w:r>
        <w:rPr>
          <w:rFonts w:hint="eastAsia" w:ascii="仿宋" w:hAnsi="仿宋" w:eastAsia="仿宋" w:cs="仿宋"/>
          <w:b/>
          <w:bCs/>
          <w:color w:val="auto"/>
          <w:sz w:val="28"/>
          <w:szCs w:val="28"/>
        </w:rPr>
        <w:t>第五条 违约责任约定</w:t>
      </w:r>
      <w:bookmarkEnd w:id="914"/>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1.违反本《协议书》中的条款，</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方按照合同或【人民币】2000.00~20000.00 元/（项·次）的标准进行经济考核；</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2.对由于违反本协议而导致生产安全事故的情况，</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方按照合同或【人民币】≥50000.00 元/（项·次）的标准进行经济考核（最高限不超过合同额的50%）；</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3.违反本《协议书》中条款的经济考核，将在合同价款的结算中或以现金缴纳方式予以落实；</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第六条 本合同一式伍份，甲方执叁份，乙方执贰份，均具有同等法律效力。本合同经双方签字并盖章后生效。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rPr>
          <w:rFonts w:hint="eastAsia"/>
          <w:color w:val="auto"/>
        </w:rPr>
      </w:pPr>
    </w:p>
    <w:p>
      <w:pPr>
        <w:widowControl/>
        <w:adjustRightInd w:val="0"/>
        <w:snapToGrid w:val="0"/>
        <w:spacing w:line="420" w:lineRule="exact"/>
        <w:jc w:val="center"/>
        <w:outlineLvl w:val="9"/>
        <w:rPr>
          <w:rFonts w:hint="eastAsia" w:ascii="宋体" w:hAnsi="宋体" w:cs="宋体"/>
          <w:b/>
          <w:color w:val="auto"/>
          <w:kern w:val="44"/>
          <w:szCs w:val="21"/>
          <w:lang w:bidi="ar"/>
        </w:rPr>
      </w:pPr>
    </w:p>
    <w:p>
      <w:pPr>
        <w:widowControl/>
        <w:adjustRightInd w:val="0"/>
        <w:snapToGrid w:val="0"/>
        <w:spacing w:line="420" w:lineRule="exact"/>
        <w:jc w:val="center"/>
        <w:outlineLvl w:val="9"/>
        <w:rPr>
          <w:rFonts w:hint="eastAsia" w:ascii="宋体" w:hAnsi="宋体" w:cs="宋体"/>
          <w:b/>
          <w:color w:val="auto"/>
          <w:kern w:val="44"/>
          <w:szCs w:val="21"/>
          <w:lang w:bidi="ar"/>
        </w:rPr>
      </w:pPr>
    </w:p>
    <w:p>
      <w:pPr>
        <w:pStyle w:val="17"/>
        <w:outlineLvl w:val="2"/>
        <w:rPr>
          <w:rFonts w:hint="default" w:ascii="Times New Roman" w:hAnsi="Times New Roman" w:cs="Times New Roman"/>
          <w:b/>
          <w:bCs w:val="0"/>
          <w:color w:val="auto"/>
        </w:rPr>
      </w:pPr>
      <w:bookmarkStart w:id="915" w:name="_Toc3955"/>
      <w:bookmarkStart w:id="916" w:name="_Toc4782"/>
      <w:bookmarkStart w:id="917" w:name="_Toc17827"/>
      <w:bookmarkStart w:id="918" w:name="_Toc23089"/>
      <w:bookmarkStart w:id="919" w:name="_Toc31890"/>
      <w:bookmarkStart w:id="920" w:name="_Toc54"/>
      <w:r>
        <w:rPr>
          <w:rFonts w:hint="eastAsia" w:ascii="Times New Roman" w:hAnsi="Times New Roman" w:cs="Times New Roman"/>
          <w:b/>
          <w:bCs w:val="0"/>
          <w:color w:val="auto"/>
          <w:lang w:val="en-US" w:eastAsia="zh-CN"/>
        </w:rPr>
        <w:t>附件二：</w:t>
      </w:r>
      <w:r>
        <w:rPr>
          <w:rFonts w:hint="default" w:ascii="Times New Roman" w:hAnsi="Times New Roman" w:cs="Times New Roman"/>
          <w:b/>
          <w:bCs w:val="0"/>
          <w:color w:val="auto"/>
        </w:rPr>
        <w:t>廉洁责任书</w:t>
      </w:r>
      <w:bookmarkEnd w:id="915"/>
      <w:bookmarkEnd w:id="916"/>
      <w:bookmarkEnd w:id="917"/>
      <w:bookmarkEnd w:id="918"/>
      <w:bookmarkEnd w:id="919"/>
      <w:bookmarkEnd w:id="920"/>
    </w:p>
    <w:p>
      <w:pPr>
        <w:spacing w:line="520" w:lineRule="exact"/>
        <w:ind w:left="105" w:leftChars="50" w:firstLine="430" w:firstLineChars="205"/>
        <w:rPr>
          <w:rFonts w:hint="default" w:ascii="Times New Roman" w:hAnsi="Times New Roman" w:eastAsia="方正仿宋_GBK" w:cs="Times New Roman"/>
          <w:color w:val="auto"/>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lang w:val="en-US" w:eastAsia="zh-CN"/>
        </w:rPr>
      </w:pPr>
      <w:r>
        <w:rPr>
          <w:rFonts w:hint="eastAsia" w:ascii="仿宋" w:hAnsi="仿宋" w:eastAsia="仿宋" w:cs="仿宋"/>
          <w:color w:val="auto"/>
          <w:sz w:val="28"/>
          <w:szCs w:val="28"/>
        </w:rPr>
        <w:t>甲方（委托人）：</w:t>
      </w:r>
      <w:r>
        <w:rPr>
          <w:rFonts w:hint="eastAsia" w:ascii="仿宋" w:hAnsi="仿宋" w:eastAsia="仿宋" w:cs="仿宋"/>
          <w:color w:val="auto"/>
          <w:w w:val="90"/>
          <w:sz w:val="28"/>
          <w:szCs w:val="28"/>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rPr>
      </w:pPr>
      <w:r>
        <w:rPr>
          <w:rFonts w:hint="eastAsia" w:ascii="仿宋" w:hAnsi="仿宋" w:eastAsia="仿宋" w:cs="仿宋"/>
          <w:color w:val="auto"/>
          <w:sz w:val="28"/>
          <w:szCs w:val="28"/>
        </w:rPr>
        <w:t>乙方（代理人）：</w:t>
      </w:r>
      <w:r>
        <w:rPr>
          <w:rFonts w:hint="eastAsia" w:ascii="仿宋" w:hAnsi="仿宋" w:eastAsia="仿宋" w:cs="仿宋"/>
          <w:color w:val="auto"/>
          <w:w w:val="9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工程项目名称：</w:t>
      </w:r>
      <w:r>
        <w:rPr>
          <w:rFonts w:hint="eastAsia" w:ascii="仿宋" w:hAnsi="仿宋" w:eastAsia="仿宋" w:cs="仿宋"/>
          <w:color w:val="auto"/>
          <w:w w:val="90"/>
          <w:sz w:val="28"/>
          <w:szCs w:val="28"/>
        </w:rPr>
        <w:t xml:space="preserve"> </w:t>
      </w:r>
      <w:r>
        <w:rPr>
          <w:rFonts w:hint="eastAsia" w:ascii="仿宋" w:hAnsi="仿宋" w:eastAsia="仿宋" w:cs="仿宋"/>
          <w:color w:val="auto"/>
          <w:w w:val="90"/>
          <w:sz w:val="28"/>
          <w:szCs w:val="28"/>
          <w:u w:val="single"/>
          <w:lang w:val="en-US" w:eastAsia="zh-CN"/>
        </w:rPr>
        <w:t>重庆市建筑科学研究院有限公司“江南分中心实验室搬迁项目（实验区）劳务分包（装饰工程及水电智能化工程）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发包方式：</w:t>
      </w:r>
      <w:r>
        <w:rPr>
          <w:rFonts w:hint="eastAsia" w:ascii="仿宋" w:hAnsi="仿宋" w:eastAsia="仿宋" w:cs="仿宋"/>
          <w:color w:val="auto"/>
          <w:sz w:val="28"/>
          <w:szCs w:val="28"/>
        </w:rPr>
        <w:sym w:font="Wingdings" w:char="00FE"/>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竞争性</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为了加强工程生产经营活动的管理和廉政建设，保证生产经营活动的公开、公平、公正，保护国家、集体和当事人的合法利益，防止发生各种谋取不正当利益的违法违纪行为，根据有关工程</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1" w:name="_Toc14125"/>
      <w:r>
        <w:rPr>
          <w:rFonts w:hint="eastAsia" w:ascii="仿宋" w:hAnsi="仿宋" w:eastAsia="仿宋" w:cs="仿宋"/>
          <w:color w:val="auto"/>
          <w:sz w:val="28"/>
          <w:szCs w:val="28"/>
        </w:rPr>
        <w:t>第一条  甲乙双方的责任</w:t>
      </w:r>
      <w:bookmarkEnd w:id="921"/>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2" w:name="_Toc4644"/>
      <w:r>
        <w:rPr>
          <w:rFonts w:hint="eastAsia" w:ascii="仿宋" w:hAnsi="仿宋" w:eastAsia="仿宋" w:cs="仿宋"/>
          <w:color w:val="auto"/>
          <w:sz w:val="28"/>
          <w:szCs w:val="28"/>
        </w:rPr>
        <w:t>第二条  甲方的责任</w:t>
      </w:r>
      <w:bookmarkEnd w:id="922"/>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3" w:name="_Toc3549"/>
      <w:r>
        <w:rPr>
          <w:rFonts w:hint="eastAsia" w:ascii="仿宋" w:hAnsi="仿宋" w:eastAsia="仿宋" w:cs="仿宋"/>
          <w:color w:val="auto"/>
          <w:sz w:val="28"/>
          <w:szCs w:val="28"/>
        </w:rPr>
        <w:t>（二）不准向乙方和相关单位报销任何应由甲方或个人支付的费用。</w:t>
      </w:r>
      <w:bookmarkEnd w:id="923"/>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4" w:name="_Toc11788"/>
      <w:r>
        <w:rPr>
          <w:rFonts w:hint="eastAsia" w:ascii="仿宋" w:hAnsi="仿宋" w:eastAsia="仿宋" w:cs="仿宋"/>
          <w:color w:val="auto"/>
          <w:sz w:val="28"/>
          <w:szCs w:val="28"/>
        </w:rPr>
        <w:t>（四）不得以任何理由向乙方推荐相关单位或分包单位等。</w:t>
      </w:r>
      <w:bookmarkEnd w:id="92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5" w:name="_Toc10207"/>
      <w:r>
        <w:rPr>
          <w:rFonts w:hint="eastAsia" w:ascii="仿宋" w:hAnsi="仿宋" w:eastAsia="仿宋" w:cs="仿宋"/>
          <w:color w:val="auto"/>
          <w:sz w:val="28"/>
          <w:szCs w:val="28"/>
        </w:rPr>
        <w:t>第三条  乙方的责任</w:t>
      </w:r>
      <w:bookmarkEnd w:id="925"/>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6" w:name="_Toc11764"/>
      <w:r>
        <w:rPr>
          <w:rFonts w:hint="eastAsia" w:ascii="仿宋" w:hAnsi="仿宋" w:eastAsia="仿宋" w:cs="仿宋"/>
          <w:color w:val="auto"/>
          <w:sz w:val="28"/>
          <w:szCs w:val="28"/>
        </w:rPr>
        <w:t>（二）不准向甲方和相关单位报销任何应由乙方或个人支付的费用。</w:t>
      </w:r>
      <w:bookmarkEnd w:id="926"/>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7" w:name="_Toc30972"/>
      <w:r>
        <w:rPr>
          <w:rFonts w:hint="eastAsia" w:ascii="仿宋" w:hAnsi="仿宋" w:eastAsia="仿宋" w:cs="仿宋"/>
          <w:color w:val="auto"/>
          <w:sz w:val="28"/>
          <w:szCs w:val="28"/>
        </w:rPr>
        <w:t>（四）不得以任何理由向甲方推荐相关单位或分包单位等。</w:t>
      </w:r>
      <w:bookmarkEnd w:id="92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928" w:name="_Toc6202"/>
      <w:r>
        <w:rPr>
          <w:rFonts w:hint="eastAsia" w:ascii="仿宋" w:hAnsi="仿宋" w:eastAsia="仿宋" w:cs="仿宋"/>
          <w:color w:val="auto"/>
          <w:sz w:val="28"/>
          <w:szCs w:val="28"/>
        </w:rPr>
        <w:t>第四条  违约责任</w:t>
      </w:r>
      <w:bookmarkEnd w:id="928"/>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第五条  本责任书与</w:t>
      </w:r>
      <w:r>
        <w:rPr>
          <w:rFonts w:hint="eastAsia" w:ascii="仿宋" w:hAnsi="仿宋" w:eastAsia="仿宋" w:cs="仿宋"/>
          <w:color w:val="auto"/>
          <w:sz w:val="28"/>
          <w:szCs w:val="28"/>
          <w:lang w:val="en-US" w:eastAsia="zh-CN"/>
        </w:rPr>
        <w:t>重庆市建筑科学研究院有限公司“江南分中心实验室搬迁项目（实验区）劳务分包（装饰工程及水电智能化工程）</w:t>
      </w:r>
      <w:r>
        <w:rPr>
          <w:rFonts w:hint="eastAsia" w:ascii="仿宋" w:hAnsi="仿宋" w:eastAsia="仿宋" w:cs="仿宋"/>
          <w:color w:val="auto"/>
          <w:sz w:val="28"/>
          <w:szCs w:val="28"/>
        </w:rPr>
        <w:t>同时签订，作为</w:t>
      </w:r>
      <w:r>
        <w:rPr>
          <w:rFonts w:hint="eastAsia" w:ascii="仿宋" w:hAnsi="仿宋" w:eastAsia="仿宋" w:cs="仿宋"/>
          <w:color w:val="auto"/>
          <w:sz w:val="28"/>
          <w:szCs w:val="28"/>
          <w:lang w:val="en-US" w:eastAsia="zh-CN"/>
        </w:rPr>
        <w:t>重庆市建筑科学研究院有限公司“江南分中心实验室搬迁项目（实验区）劳务分包（装饰工程及水电智能化工程）</w:t>
      </w:r>
      <w:r>
        <w:rPr>
          <w:rFonts w:hint="eastAsia" w:ascii="仿宋" w:hAnsi="仿宋" w:eastAsia="仿宋" w:cs="仿宋"/>
          <w:color w:val="auto"/>
          <w:sz w:val="28"/>
          <w:szCs w:val="28"/>
        </w:rPr>
        <w:t>合同的附件具有同等法律效力。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以下</w:t>
      </w:r>
      <w:r>
        <w:rPr>
          <w:rFonts w:hint="eastAsia" w:ascii="仿宋" w:hAnsi="仿宋" w:eastAsia="仿宋" w:cs="仿宋"/>
          <w:color w:val="auto"/>
          <w:sz w:val="28"/>
          <w:szCs w:val="28"/>
        </w:rPr>
        <w:t>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sz w:val="28"/>
          <w:szCs w:val="28"/>
        </w:rPr>
        <w:sectPr>
          <w:footerReference r:id="rId3" w:type="default"/>
          <w:pgSz w:w="11906" w:h="16838"/>
          <w:pgMar w:top="1304" w:right="1135" w:bottom="1304" w:left="1304" w:header="720" w:footer="720" w:gutter="0"/>
          <w:pgBorders>
            <w:top w:val="none" w:sz="0" w:space="0"/>
            <w:left w:val="none" w:sz="0" w:space="0"/>
            <w:bottom w:val="none" w:sz="0" w:space="0"/>
            <w:right w:val="none" w:sz="0" w:space="0"/>
          </w:pgBorders>
          <w:cols w:space="720" w:num="1"/>
          <w:docGrid w:type="lines" w:linePitch="326" w:charSpace="0"/>
        </w:sectPr>
      </w:pPr>
    </w:p>
    <w:p>
      <w:pPr>
        <w:rPr>
          <w:rFonts w:hint="eastAsia"/>
          <w:color w:val="auto"/>
        </w:rPr>
      </w:pPr>
    </w:p>
    <w:bookmarkEnd w:id="902"/>
    <w:bookmarkEnd w:id="903"/>
    <w:p>
      <w:pPr>
        <w:keepNext/>
        <w:keepLines/>
        <w:widowControl/>
        <w:topLinePunct/>
        <w:adjustRightInd w:val="0"/>
        <w:snapToGrid w:val="0"/>
        <w:spacing w:line="420" w:lineRule="exact"/>
        <w:jc w:val="center"/>
        <w:outlineLvl w:val="2"/>
        <w:rPr>
          <w:rFonts w:hint="eastAsia" w:ascii="黑体" w:hAnsi="黑体" w:eastAsia="黑体" w:cs="黑体"/>
          <w:b/>
          <w:color w:val="auto"/>
          <w:kern w:val="0"/>
          <w:sz w:val="36"/>
          <w:szCs w:val="36"/>
        </w:rPr>
      </w:pPr>
      <w:bookmarkStart w:id="929" w:name="_Hlk38571789"/>
      <w:bookmarkEnd w:id="929"/>
      <w:bookmarkStart w:id="930" w:name="_Toc20171895"/>
      <w:bookmarkEnd w:id="930"/>
      <w:bookmarkStart w:id="931" w:name="_Toc95830629"/>
      <w:bookmarkStart w:id="932" w:name="_Toc9380"/>
      <w:bookmarkStart w:id="933" w:name="_Toc12524"/>
      <w:bookmarkStart w:id="934" w:name="_Toc95830737"/>
      <w:bookmarkStart w:id="935" w:name="_Toc21198"/>
      <w:bookmarkStart w:id="936" w:name="_Toc12103"/>
      <w:bookmarkStart w:id="937" w:name="_Toc768"/>
      <w:r>
        <w:rPr>
          <w:rFonts w:hint="eastAsia" w:ascii="黑体" w:hAnsi="黑体" w:eastAsia="黑体" w:cs="黑体"/>
          <w:b/>
          <w:color w:val="auto"/>
          <w:kern w:val="0"/>
          <w:sz w:val="36"/>
          <w:szCs w:val="36"/>
          <w:lang w:val="en-US" w:eastAsia="zh-CN" w:bidi="ar"/>
        </w:rPr>
        <w:t>附件三：</w:t>
      </w:r>
      <w:r>
        <w:rPr>
          <w:rFonts w:hint="eastAsia" w:ascii="黑体" w:hAnsi="黑体" w:eastAsia="黑体" w:cs="黑体"/>
          <w:b/>
          <w:color w:val="auto"/>
          <w:kern w:val="0"/>
          <w:sz w:val="36"/>
          <w:szCs w:val="36"/>
          <w:lang w:bidi="ar"/>
        </w:rPr>
        <w:t>工程质量保修书</w:t>
      </w:r>
      <w:bookmarkEnd w:id="931"/>
      <w:bookmarkEnd w:id="932"/>
      <w:bookmarkEnd w:id="933"/>
      <w:bookmarkEnd w:id="934"/>
      <w:bookmarkEnd w:id="935"/>
      <w:bookmarkEnd w:id="936"/>
      <w:bookmarkEnd w:id="937"/>
    </w:p>
    <w:p>
      <w:pPr>
        <w:widowControl/>
        <w:adjustRightInd w:val="0"/>
        <w:snapToGrid w:val="0"/>
        <w:spacing w:line="420" w:lineRule="exact"/>
        <w:rPr>
          <w:rFonts w:ascii="宋体" w:hAnsi="宋体" w:cs="宋体"/>
          <w:color w:val="auto"/>
          <w:kern w:val="0"/>
          <w:szCs w:val="21"/>
          <w:lang w:bidi="ar"/>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 xml:space="preserve">有限公司 </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根据《中华人民共和国建筑法》和《建设工程质量管理条例》，经协商一致就</w:t>
      </w:r>
      <w:r>
        <w:rPr>
          <w:rFonts w:hint="eastAsia" w:ascii="仿宋" w:hAnsi="仿宋" w:eastAsia="仿宋" w:cs="仿宋"/>
          <w:color w:val="auto"/>
          <w:sz w:val="28"/>
          <w:szCs w:val="28"/>
          <w:u w:val="single"/>
          <w:lang w:val="en-US" w:eastAsia="zh-CN"/>
        </w:rPr>
        <w:t>重庆市建筑科学研究院有限公司“江南分中心实验室搬迁项目（实验区）劳务分包（装饰工程及水电智能化工程）</w:t>
      </w:r>
      <w:r>
        <w:rPr>
          <w:rFonts w:hint="eastAsia" w:ascii="仿宋" w:hAnsi="仿宋" w:eastAsia="仿宋" w:cs="仿宋"/>
          <w:color w:val="auto"/>
          <w:kern w:val="0"/>
          <w:sz w:val="28"/>
          <w:szCs w:val="28"/>
          <w:lang w:bidi="ar"/>
        </w:rPr>
        <w:t>（工程全称）订立工程质量保修书。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938" w:name="_Toc23877"/>
      <w:r>
        <w:rPr>
          <w:rFonts w:hint="eastAsia" w:ascii="仿宋" w:hAnsi="仿宋" w:eastAsia="仿宋" w:cs="仿宋"/>
          <w:color w:val="auto"/>
          <w:kern w:val="0"/>
          <w:sz w:val="28"/>
          <w:szCs w:val="28"/>
          <w:lang w:bidi="ar"/>
        </w:rPr>
        <w:t>一、工程质量保修范围和内容</w:t>
      </w:r>
      <w:bookmarkEnd w:id="938"/>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在质量保修期内，按照有关法律规定和合同约定，承担工程质量保修责任。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质量保修范围包括</w:t>
      </w:r>
      <w:r>
        <w:rPr>
          <w:rFonts w:hint="eastAsia" w:ascii="仿宋" w:hAnsi="仿宋" w:eastAsia="仿宋" w:cs="仿宋"/>
          <w:color w:val="auto"/>
          <w:kern w:val="0"/>
          <w:sz w:val="28"/>
          <w:szCs w:val="28"/>
          <w:lang w:val="en-US" w:eastAsia="zh-CN" w:bidi="ar"/>
        </w:rPr>
        <w:t>但不限于装饰、强弱电、给排水、智能化、钢结构工程</w:t>
      </w:r>
      <w:r>
        <w:rPr>
          <w:rFonts w:hint="eastAsia" w:ascii="仿宋" w:hAnsi="仿宋" w:eastAsia="仿宋" w:cs="仿宋"/>
          <w:color w:val="auto"/>
          <w:kern w:val="0"/>
          <w:sz w:val="28"/>
          <w:szCs w:val="28"/>
          <w:lang w:bidi="ar"/>
        </w:rPr>
        <w:t>，以及双方约定的其他项目。具体保修的内容，双方约定如下：</w:t>
      </w:r>
      <w:r>
        <w:rPr>
          <w:rFonts w:hint="eastAsia" w:ascii="仿宋" w:hAnsi="仿宋" w:eastAsia="仿宋" w:cs="仿宋"/>
          <w:color w:val="auto"/>
          <w:kern w:val="0"/>
          <w:sz w:val="28"/>
          <w:szCs w:val="28"/>
          <w:u w:val="single"/>
          <w:lang w:val="en-US" w:eastAsia="zh-CN" w:bidi="ar"/>
        </w:rPr>
        <w:t>乙方</w:t>
      </w:r>
      <w:r>
        <w:rPr>
          <w:rFonts w:hint="eastAsia" w:ascii="仿宋" w:hAnsi="仿宋" w:eastAsia="仿宋" w:cs="仿宋"/>
          <w:color w:val="auto"/>
          <w:kern w:val="0"/>
          <w:sz w:val="28"/>
          <w:szCs w:val="28"/>
          <w:u w:val="single"/>
          <w:lang w:bidi="ar"/>
        </w:rPr>
        <w:t>承包范围内的全部项目</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939" w:name="_Toc10204"/>
      <w:r>
        <w:rPr>
          <w:rFonts w:hint="eastAsia" w:ascii="仿宋" w:hAnsi="仿宋" w:eastAsia="仿宋" w:cs="仿宋"/>
          <w:color w:val="auto"/>
          <w:kern w:val="0"/>
          <w:sz w:val="28"/>
          <w:szCs w:val="28"/>
          <w:lang w:bidi="ar"/>
        </w:rPr>
        <w:t>二、质量保修期</w:t>
      </w:r>
      <w:bookmarkEnd w:id="939"/>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根据《建设工程质量管理条例》及有关规定，工程的质量保修期如下：</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1．地基基础工程和主体结构工程为设计文件规定的工程合理使用年限；</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2．屋面防水工程、有防水要求的卫生间、房间和外墙面的防渗为</w:t>
      </w:r>
      <w:r>
        <w:rPr>
          <w:rFonts w:hint="eastAsia" w:ascii="仿宋" w:hAnsi="仿宋" w:eastAsia="仿宋" w:cs="仿宋"/>
          <w:color w:val="auto"/>
          <w:kern w:val="0"/>
          <w:sz w:val="28"/>
          <w:szCs w:val="28"/>
          <w:u w:val="single"/>
          <w:lang w:bidi="ar"/>
        </w:rPr>
        <w:t xml:space="preserve">  5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3．装修工程为</w:t>
      </w:r>
      <w:r>
        <w:rPr>
          <w:rFonts w:hint="eastAsia" w:ascii="仿宋" w:hAnsi="仿宋" w:eastAsia="仿宋" w:cs="仿宋"/>
          <w:color w:val="auto"/>
          <w:kern w:val="0"/>
          <w:sz w:val="28"/>
          <w:szCs w:val="28"/>
          <w:u w:val="single"/>
          <w:lang w:bidi="ar"/>
        </w:rPr>
        <w:t xml:space="preserve"> 2</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4．电气管线、给排水管道、设备安装工程为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5．供热与供冷系统为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个采暖期、供冷期；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6．住宅小区内的给排水设施、道路等配套工程为</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7．其他项目保修期限约定如下：</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质量保修期自工程竣工验收合格之日起计算。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940" w:name="_Toc103"/>
      <w:r>
        <w:rPr>
          <w:rFonts w:hint="eastAsia" w:ascii="仿宋" w:hAnsi="仿宋" w:eastAsia="仿宋" w:cs="仿宋"/>
          <w:color w:val="auto"/>
          <w:kern w:val="0"/>
          <w:sz w:val="28"/>
          <w:szCs w:val="28"/>
          <w:lang w:bidi="ar"/>
        </w:rPr>
        <w:t>三、缺陷责任期</w:t>
      </w:r>
      <w:bookmarkEnd w:id="940"/>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工程缺陷责任期为</w:t>
      </w:r>
      <w:r>
        <w:rPr>
          <w:rFonts w:hint="eastAsia" w:ascii="仿宋" w:hAnsi="仿宋" w:eastAsia="仿宋" w:cs="仿宋"/>
          <w:color w:val="auto"/>
          <w:kern w:val="0"/>
          <w:sz w:val="28"/>
          <w:szCs w:val="28"/>
          <w:u w:val="single"/>
          <w:lang w:bidi="ar"/>
        </w:rPr>
        <w:t xml:space="preserve">  24 </w:t>
      </w:r>
      <w:r>
        <w:rPr>
          <w:rFonts w:hint="eastAsia" w:ascii="仿宋" w:hAnsi="仿宋" w:eastAsia="仿宋" w:cs="仿宋"/>
          <w:color w:val="auto"/>
          <w:kern w:val="0"/>
          <w:sz w:val="28"/>
          <w:szCs w:val="28"/>
          <w:lang w:bidi="ar"/>
        </w:rPr>
        <w:t>个月，缺陷责任期自工程通过竣工验收</w:t>
      </w:r>
      <w:r>
        <w:rPr>
          <w:rFonts w:hint="eastAsia" w:ascii="仿宋" w:hAnsi="仿宋" w:eastAsia="仿宋" w:cs="仿宋"/>
          <w:color w:val="auto"/>
          <w:kern w:val="0"/>
          <w:sz w:val="28"/>
          <w:szCs w:val="28"/>
          <w:lang w:val="en-US" w:eastAsia="zh-CN" w:bidi="ar"/>
        </w:rPr>
        <w:t>合格</w:t>
      </w:r>
      <w:r>
        <w:rPr>
          <w:rFonts w:hint="eastAsia" w:ascii="仿宋" w:hAnsi="仿宋" w:eastAsia="仿宋" w:cs="仿宋"/>
          <w:color w:val="auto"/>
          <w:kern w:val="0"/>
          <w:sz w:val="28"/>
          <w:szCs w:val="28"/>
          <w:lang w:bidi="ar"/>
        </w:rPr>
        <w:t>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缺陷责任期终止后，</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应返还剩余的质量保证金。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941" w:name="_Toc6213"/>
      <w:r>
        <w:rPr>
          <w:rFonts w:hint="eastAsia" w:ascii="仿宋" w:hAnsi="仿宋" w:eastAsia="仿宋" w:cs="仿宋"/>
          <w:color w:val="auto"/>
          <w:kern w:val="0"/>
          <w:sz w:val="28"/>
          <w:szCs w:val="28"/>
          <w:lang w:bidi="ar"/>
        </w:rPr>
        <w:t>四、质量保修责任</w:t>
      </w:r>
      <w:bookmarkEnd w:id="941"/>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1．属于保修范围、内容的项目，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应当在接到保修通知之日起7天内派人保修。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不在约定期限内派人保修的，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可以委托他人修理。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2．发生紧急事故需抢修的，</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在接到事故通知后，应当立即到达事故现场抢修。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3．对于涉及结构安全的质量问题，应当按照《建设工程质量管理条例》的规定，立即向当地建设行政主管部门和有关部门报告，采取安全防范措施，并由</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提出保修方案。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4．质量保修完成后，由</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组织验收。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942" w:name="_Toc19675"/>
      <w:r>
        <w:rPr>
          <w:rFonts w:hint="eastAsia" w:ascii="仿宋" w:hAnsi="仿宋" w:eastAsia="仿宋" w:cs="仿宋"/>
          <w:color w:val="auto"/>
          <w:kern w:val="0"/>
          <w:sz w:val="28"/>
          <w:szCs w:val="28"/>
          <w:lang w:bidi="ar"/>
        </w:rPr>
        <w:t>五、保修费用</w:t>
      </w:r>
      <w:bookmarkEnd w:id="942"/>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保修费用由造成质量缺陷的责任方承担。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u w:val="single"/>
        </w:rPr>
      </w:pPr>
      <w:bookmarkStart w:id="943" w:name="_Toc22651"/>
      <w:r>
        <w:rPr>
          <w:rFonts w:hint="eastAsia" w:ascii="仿宋" w:hAnsi="仿宋" w:eastAsia="仿宋" w:cs="仿宋"/>
          <w:color w:val="auto"/>
          <w:kern w:val="0"/>
          <w:sz w:val="28"/>
          <w:szCs w:val="28"/>
          <w:lang w:bidi="ar"/>
        </w:rPr>
        <w:t>六、双方约定的其他工程质量保修事项：</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bookmarkEnd w:id="943"/>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工程质量保修书由</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在工程竣工验收前共同签署，作为工程总承包合同附件，其有效期限至保修期满。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lang w:bidi="ar"/>
        </w:rPr>
      </w:pPr>
      <w:bookmarkStart w:id="944" w:name="_Toc8095"/>
      <w:r>
        <w:rPr>
          <w:rFonts w:hint="eastAsia" w:ascii="仿宋" w:hAnsi="仿宋" w:eastAsia="仿宋" w:cs="仿宋"/>
          <w:color w:val="auto"/>
          <w:kern w:val="0"/>
          <w:sz w:val="28"/>
          <w:szCs w:val="28"/>
          <w:lang w:bidi="ar"/>
        </w:rPr>
        <w:t>七、本文件生效</w:t>
      </w:r>
      <w:bookmarkEnd w:id="944"/>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本工程质量保修书经</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盖章后生效。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以下无正文</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 xml:space="preserve"> </w:t>
      </w:r>
    </w:p>
    <w:p>
      <w:pPr>
        <w:pStyle w:val="25"/>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本页无正文，仅为签章页</w:t>
      </w:r>
      <w:r>
        <w:rPr>
          <w:rFonts w:hint="eastAsia" w:ascii="仿宋" w:hAnsi="仿宋" w:eastAsia="仿宋" w:cs="仿宋"/>
          <w:color w:val="auto"/>
          <w:sz w:val="28"/>
          <w:szCs w:val="28"/>
          <w:lang w:eastAsia="zh-CN"/>
        </w:rPr>
        <w:t>）</w:t>
      </w:r>
    </w:p>
    <w:p>
      <w:pPr>
        <w:pStyle w:val="25"/>
        <w:rPr>
          <w:rFonts w:hint="eastAsia" w:ascii="仿宋" w:hAnsi="仿宋" w:eastAsia="仿宋" w:cs="仿宋"/>
          <w:color w:val="auto"/>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 xml:space="preserve"> </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keepNext/>
        <w:keepLines/>
        <w:pageBreakBefore w:val="0"/>
        <w:widowControl/>
        <w:kinsoku/>
        <w:wordWrap/>
        <w:overflowPunct/>
        <w:topLinePunct/>
        <w:autoSpaceDE/>
        <w:autoSpaceDN/>
        <w:bidi w:val="0"/>
        <w:adjustRightInd w:val="0"/>
        <w:snapToGrid w:val="0"/>
        <w:spacing w:before="313" w:beforeLines="100" w:after="313" w:afterLines="100" w:line="360" w:lineRule="auto"/>
        <w:jc w:val="center"/>
        <w:textAlignment w:val="auto"/>
        <w:outlineLvl w:val="2"/>
        <w:rPr>
          <w:rFonts w:hint="eastAsia" w:ascii="黑体" w:hAnsi="黑体" w:eastAsia="黑体" w:cs="黑体"/>
          <w:b/>
          <w:color w:val="auto"/>
          <w:kern w:val="0"/>
          <w:sz w:val="36"/>
          <w:szCs w:val="36"/>
        </w:rPr>
      </w:pPr>
      <w:bookmarkStart w:id="945" w:name="_Toc20171896"/>
      <w:bookmarkEnd w:id="945"/>
      <w:bookmarkStart w:id="946" w:name="_Toc95830636"/>
      <w:bookmarkStart w:id="947" w:name="_Toc95830744"/>
      <w:bookmarkStart w:id="948" w:name="_Toc28914"/>
      <w:bookmarkStart w:id="949" w:name="_Toc12897"/>
      <w:bookmarkStart w:id="950" w:name="_Toc8259"/>
      <w:bookmarkStart w:id="951" w:name="_Toc27884"/>
      <w:bookmarkStart w:id="952" w:name="_Toc6549"/>
      <w:r>
        <w:rPr>
          <w:rFonts w:hint="eastAsia" w:ascii="黑体" w:hAnsi="黑体" w:eastAsia="黑体" w:cs="黑体"/>
          <w:b/>
          <w:color w:val="auto"/>
          <w:kern w:val="0"/>
          <w:sz w:val="36"/>
          <w:szCs w:val="36"/>
          <w:lang w:bidi="ar"/>
        </w:rPr>
        <w:t>附件</w:t>
      </w:r>
      <w:r>
        <w:rPr>
          <w:rFonts w:hint="eastAsia" w:ascii="黑体" w:hAnsi="黑体" w:eastAsia="黑体" w:cs="黑体"/>
          <w:b/>
          <w:color w:val="auto"/>
          <w:kern w:val="0"/>
          <w:sz w:val="36"/>
          <w:szCs w:val="36"/>
          <w:lang w:val="en-US" w:eastAsia="zh-CN" w:bidi="ar"/>
        </w:rPr>
        <w:t>四：</w:t>
      </w:r>
      <w:r>
        <w:rPr>
          <w:rFonts w:hint="eastAsia" w:ascii="黑体" w:hAnsi="黑体" w:eastAsia="黑体" w:cs="黑体"/>
          <w:b/>
          <w:color w:val="auto"/>
          <w:kern w:val="0"/>
          <w:sz w:val="36"/>
          <w:szCs w:val="36"/>
          <w:lang w:bidi="ar"/>
        </w:rPr>
        <w:t>保障建筑工人工资支付协议</w:t>
      </w:r>
      <w:bookmarkEnd w:id="946"/>
      <w:bookmarkEnd w:id="947"/>
      <w:bookmarkEnd w:id="948"/>
      <w:bookmarkEnd w:id="949"/>
      <w:bookmarkEnd w:id="950"/>
      <w:bookmarkEnd w:id="951"/>
      <w:bookmarkEnd w:id="952"/>
    </w:p>
    <w:p>
      <w:pPr>
        <w:widowControl/>
        <w:spacing w:line="420" w:lineRule="exact"/>
        <w:jc w:val="left"/>
        <w:rPr>
          <w:rFonts w:hint="eastAsia" w:ascii="仿宋" w:hAnsi="仿宋" w:eastAsia="仿宋" w:cs="仿宋"/>
          <w:color w:val="auto"/>
          <w:kern w:val="0"/>
          <w:sz w:val="28"/>
          <w:szCs w:val="28"/>
        </w:rPr>
      </w:pPr>
      <w:r>
        <w:rPr>
          <w:rFonts w:hint="eastAsia" w:ascii="宋体" w:hAnsi="宋体" w:cs="宋体"/>
          <w:color w:val="auto"/>
          <w:kern w:val="0"/>
          <w:szCs w:val="21"/>
          <w:lang w:bidi="ar"/>
        </w:rPr>
        <w:t xml:space="preserve"> </w:t>
      </w:r>
      <w:r>
        <w:rPr>
          <w:rFonts w:hint="eastAsia" w:ascii="宋体" w:hAnsi="宋体" w:cs="宋体"/>
          <w:color w:val="auto"/>
          <w:kern w:val="0"/>
          <w:szCs w:val="21"/>
          <w:lang w:val="en-US" w:eastAsia="zh-CN" w:bidi="ar"/>
        </w:rPr>
        <w:t xml:space="preserve">    </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有限公司</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为贯彻落实《国务院办公厅关于全面治理拖欠农民工工资问题的意见》（国办发〔2016〕1号）</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重庆市人民政府办公厅关于全面治理拖欠农民工工资问题的实施意见》（渝府办发〔2016〕101号），健全预防和解决拖欠建筑工人工资问题的长效机制，切实保障建筑工人劳动报酬权益，维护社会公平正义，促进社会和谐稳定。经甲、乙双方结合实际情况，友好协商，达成如下协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申报工程进度款时，应对上月已支付工程款用于建筑工人工资发放的情况进行说明，并附建筑工人代表按时足额收取了工资的签名确认书与工程进度款申报资料一并提交给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审核合格后，才进行当期工程进度款的支付。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二、由于工程进度款申报和审查需一定时间，其与建筑工人工资发放时间存在一定时间的延后，承包人应具有垫付不低于3个月建筑工人工资能力。</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在本补充协议签订后申请的第一笔工程进度款时应出具垫付不低于3个月建筑工人工资的书面承诺给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将</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是否做出承诺作为支付工程进度款的前提条件之一。</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val="en-US" w:eastAsia="zh-CN" w:bidi="ar"/>
        </w:rPr>
        <w:t>三</w:t>
      </w:r>
      <w:r>
        <w:rPr>
          <w:rFonts w:hint="eastAsia" w:ascii="仿宋" w:hAnsi="仿宋" w:eastAsia="仿宋" w:cs="仿宋"/>
          <w:color w:val="auto"/>
          <w:kern w:val="0"/>
          <w:sz w:val="28"/>
          <w:szCs w:val="28"/>
          <w:lang w:bidi="ar"/>
        </w:rPr>
        <w:t>、若发现</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有下列事项的，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在支付当期进度款时暂扣当期应支付进度款</w:t>
      </w:r>
      <w:r>
        <w:rPr>
          <w:rFonts w:hint="eastAsia" w:ascii="仿宋" w:hAnsi="仿宋" w:eastAsia="仿宋" w:cs="仿宋"/>
          <w:color w:val="auto"/>
          <w:kern w:val="0"/>
          <w:sz w:val="28"/>
          <w:szCs w:val="28"/>
          <w:lang w:val="en-US" w:eastAsia="zh-CN" w:bidi="ar"/>
        </w:rPr>
        <w:t>20</w:t>
      </w:r>
      <w:r>
        <w:rPr>
          <w:rFonts w:hint="eastAsia" w:ascii="仿宋" w:hAnsi="仿宋" w:eastAsia="仿宋" w:cs="仿宋"/>
          <w:color w:val="auto"/>
          <w:kern w:val="0"/>
          <w:sz w:val="28"/>
          <w:szCs w:val="28"/>
          <w:lang w:bidi="ar"/>
        </w:rPr>
        <w:t>%比例的款项。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（一）现场检查发现项目存在拖欠建筑工人工资情况并经核查属实的；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（二）相关行政管理部门检查发现存在拖欠建筑工人工资情况并经核查属实的；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（三）有拖欠建筑工人工资投诉事项并经核查属实的。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四</w:t>
      </w:r>
      <w:r>
        <w:rPr>
          <w:rFonts w:hint="eastAsia" w:ascii="仿宋" w:hAnsi="仿宋" w:eastAsia="仿宋" w:cs="仿宋"/>
          <w:color w:val="auto"/>
          <w:kern w:val="0"/>
          <w:sz w:val="28"/>
          <w:szCs w:val="28"/>
          <w:lang w:bidi="ar"/>
        </w:rPr>
        <w:t>、对发现的存在拖欠建筑工人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六、本协议经双方法定代表人或委托代理人签名并加盖公章后生效，履行完毕后自然失效。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 xml:space="preserve"> （以下无正文）</w:t>
      </w:r>
    </w:p>
    <w:p>
      <w:pPr>
        <w:pStyle w:val="25"/>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5"/>
        <w:rPr>
          <w:rFonts w:hint="eastAsia" w:ascii="仿宋" w:hAnsi="仿宋" w:eastAsia="仿宋" w:cs="仿宋"/>
          <w:color w:val="auto"/>
          <w:kern w:val="0"/>
          <w:sz w:val="28"/>
          <w:szCs w:val="28"/>
          <w:lang w:bidi="ar"/>
        </w:rPr>
      </w:pPr>
    </w:p>
    <w:p>
      <w:pPr>
        <w:rPr>
          <w:rFonts w:hint="eastAsia"/>
          <w:color w:va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839" w:type="dxa"/>
            <w:tcBorders>
              <w:tl2br w:val="nil"/>
              <w:tr2bl w:val="nil"/>
            </w:tcBorders>
          </w:tcPr>
          <w:p>
            <w:pPr>
              <w:widowControl/>
              <w:spacing w:line="420" w:lineRule="exact"/>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widowControl/>
        <w:spacing w:line="420" w:lineRule="exact"/>
        <w:jc w:val="left"/>
        <w:rPr>
          <w:rFonts w:ascii="宋体" w:hAnsi="宋体" w:cs="宋体"/>
          <w:color w:val="auto"/>
          <w:kern w:val="0"/>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bookmarkEnd w:id="768"/>
    <w:bookmarkEnd w:id="904"/>
    <w:p>
      <w:pPr>
        <w:pStyle w:val="4"/>
        <w:spacing w:before="0" w:after="0" w:line="360" w:lineRule="auto"/>
        <w:jc w:val="center"/>
        <w:outlineLvl w:val="1"/>
        <w:rPr>
          <w:rFonts w:hint="default" w:ascii="宋体" w:hAnsi="宋体" w:eastAsia="宋体"/>
          <w:color w:val="FF0000"/>
          <w:lang w:val="en-US" w:eastAsia="zh-CN"/>
        </w:rPr>
      </w:pPr>
      <w:bookmarkStart w:id="953" w:name="_Toc95830745"/>
      <w:bookmarkStart w:id="954" w:name="_Toc8069"/>
      <w:bookmarkStart w:id="955" w:name="_Toc15434"/>
      <w:bookmarkStart w:id="956" w:name="_Toc21822"/>
      <w:bookmarkStart w:id="957" w:name="_Toc20969"/>
      <w:bookmarkStart w:id="958" w:name="_Toc11805"/>
      <w:bookmarkStart w:id="959" w:name="_Toc287607855"/>
      <w:bookmarkStart w:id="960" w:name="_Toc430530513"/>
      <w:bookmarkStart w:id="961" w:name="_Toc287620797"/>
      <w:bookmarkStart w:id="962" w:name="_Toc509218843"/>
      <w:bookmarkStart w:id="963" w:name="_Toc534185822"/>
      <w:r>
        <w:rPr>
          <w:rFonts w:hint="eastAsia" w:ascii="宋体" w:hAnsi="宋体"/>
          <w:color w:val="auto"/>
        </w:rPr>
        <w:t xml:space="preserve">第五章  </w:t>
      </w:r>
      <w:bookmarkEnd w:id="953"/>
      <w:r>
        <w:rPr>
          <w:rFonts w:hint="eastAsia" w:ascii="宋体" w:hAnsi="宋体"/>
          <w:color w:val="auto"/>
          <w:lang w:val="en-US" w:eastAsia="zh-CN"/>
        </w:rPr>
        <w:t>工程量清单</w:t>
      </w:r>
      <w:bookmarkEnd w:id="954"/>
      <w:bookmarkEnd w:id="955"/>
      <w:bookmarkEnd w:id="956"/>
      <w:bookmarkEnd w:id="957"/>
      <w:bookmarkEnd w:id="958"/>
    </w:p>
    <w:p>
      <w:pPr>
        <w:spacing w:line="360" w:lineRule="auto"/>
        <w:jc w:val="center"/>
        <w:rPr>
          <w:rFonts w:hint="eastAsia"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rPr>
          <w:rFonts w:hint="eastAsia" w:ascii="宋体" w:hAnsi="宋体"/>
          <w:color w:val="auto"/>
          <w:szCs w:val="20"/>
        </w:rPr>
      </w:pPr>
      <w:r>
        <w:rPr>
          <w:rFonts w:hint="eastAsia" w:ascii="宋体" w:hAnsi="宋体"/>
          <w:color w:val="auto"/>
          <w:szCs w:val="20"/>
        </w:rPr>
        <w:br w:type="page"/>
      </w:r>
    </w:p>
    <w:bookmarkEnd w:id="959"/>
    <w:bookmarkEnd w:id="960"/>
    <w:bookmarkEnd w:id="961"/>
    <w:bookmarkEnd w:id="962"/>
    <w:bookmarkEnd w:id="963"/>
    <w:p>
      <w:pPr>
        <w:spacing w:before="0" w:after="0" w:line="360" w:lineRule="auto"/>
        <w:jc w:val="center"/>
        <w:outlineLvl w:val="0"/>
        <w:rPr>
          <w:rFonts w:ascii="宋体" w:hAnsi="宋体"/>
          <w:color w:val="auto"/>
          <w:sz w:val="52"/>
          <w:szCs w:val="52"/>
        </w:rPr>
      </w:pPr>
      <w:bookmarkStart w:id="964" w:name="_Toc509218844"/>
      <w:bookmarkStart w:id="965" w:name="_Toc11648"/>
      <w:bookmarkStart w:id="966" w:name="_Toc534185823"/>
      <w:bookmarkStart w:id="967" w:name="_Toc95830747"/>
      <w:bookmarkStart w:id="968" w:name="_Toc7830"/>
      <w:bookmarkStart w:id="969" w:name="_Toc3350"/>
      <w:bookmarkStart w:id="970" w:name="_Toc16050"/>
      <w:bookmarkStart w:id="971" w:name="_Toc24908"/>
      <w:r>
        <w:rPr>
          <w:rFonts w:ascii="宋体" w:hAnsi="宋体"/>
          <w:color w:val="auto"/>
          <w:sz w:val="52"/>
          <w:szCs w:val="52"/>
        </w:rPr>
        <w:t>第 二 卷</w:t>
      </w:r>
      <w:bookmarkEnd w:id="964"/>
      <w:bookmarkEnd w:id="965"/>
      <w:bookmarkEnd w:id="966"/>
      <w:bookmarkEnd w:id="967"/>
      <w:bookmarkEnd w:id="968"/>
      <w:bookmarkEnd w:id="969"/>
      <w:bookmarkEnd w:id="970"/>
      <w:bookmarkEnd w:id="971"/>
    </w:p>
    <w:p>
      <w:pPr>
        <w:spacing w:line="360" w:lineRule="auto"/>
        <w:rPr>
          <w:rFonts w:ascii="宋体" w:hAnsi="宋体"/>
          <w:color w:val="auto"/>
          <w:szCs w:val="20"/>
        </w:rPr>
      </w:pPr>
      <w:r>
        <w:rPr>
          <w:rFonts w:ascii="宋体" w:hAnsi="宋体"/>
          <w:color w:val="auto"/>
          <w:szCs w:val="20"/>
        </w:rPr>
        <w:br w:type="page"/>
      </w:r>
    </w:p>
    <w:p>
      <w:pPr>
        <w:pStyle w:val="4"/>
        <w:spacing w:line="360" w:lineRule="auto"/>
        <w:jc w:val="center"/>
        <w:rPr>
          <w:rFonts w:hint="default" w:ascii="宋体" w:hAnsi="宋体" w:eastAsia="宋体"/>
          <w:color w:val="auto"/>
          <w:lang w:val="en-US" w:eastAsia="zh-CN"/>
        </w:rPr>
      </w:pPr>
      <w:bookmarkStart w:id="972" w:name="招标文件06章图纸"/>
      <w:bookmarkEnd w:id="972"/>
      <w:bookmarkStart w:id="973" w:name="_Toc430530519"/>
      <w:bookmarkStart w:id="974" w:name="_Toc95830748"/>
      <w:bookmarkStart w:id="975" w:name="_Toc287620803"/>
      <w:bookmarkStart w:id="976" w:name="_Toc287607861"/>
      <w:bookmarkStart w:id="977" w:name="_Toc534185825"/>
      <w:bookmarkStart w:id="978" w:name="_Toc509218846"/>
      <w:bookmarkStart w:id="979" w:name="_Toc20175"/>
      <w:bookmarkStart w:id="980" w:name="_Toc26081"/>
      <w:bookmarkStart w:id="981" w:name="_Toc29725"/>
      <w:bookmarkStart w:id="982" w:name="_Toc8898"/>
      <w:bookmarkStart w:id="983" w:name="_Toc29724"/>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bookmarkEnd w:id="973"/>
      <w:bookmarkEnd w:id="974"/>
      <w:bookmarkEnd w:id="975"/>
      <w:bookmarkEnd w:id="976"/>
      <w:bookmarkEnd w:id="977"/>
      <w:bookmarkEnd w:id="978"/>
      <w:r>
        <w:rPr>
          <w:rFonts w:hint="eastAsia" w:ascii="宋体" w:hAnsi="宋体"/>
          <w:color w:val="auto"/>
          <w:lang w:val="en-US" w:eastAsia="zh-CN"/>
        </w:rPr>
        <w:t>图纸及甲供材料清单</w:t>
      </w:r>
      <w:bookmarkEnd w:id="979"/>
      <w:bookmarkEnd w:id="980"/>
      <w:bookmarkEnd w:id="981"/>
      <w:bookmarkEnd w:id="982"/>
      <w:bookmarkEnd w:id="983"/>
    </w:p>
    <w:p>
      <w:pPr>
        <w:spacing w:line="360" w:lineRule="auto"/>
        <w:jc w:val="center"/>
        <w:rPr>
          <w:rFonts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spacing w:line="360" w:lineRule="auto"/>
        <w:rPr>
          <w:rFonts w:ascii="宋体" w:hAnsi="宋体"/>
          <w:color w:val="auto"/>
          <w:szCs w:val="20"/>
        </w:rPr>
      </w:pPr>
    </w:p>
    <w:p>
      <w:pPr>
        <w:spacing w:line="360" w:lineRule="auto"/>
        <w:rPr>
          <w:rFonts w:ascii="宋体" w:hAnsi="宋体"/>
          <w:color w:val="auto"/>
          <w:szCs w:val="20"/>
        </w:rPr>
      </w:pPr>
      <w:bookmarkStart w:id="984" w:name="招标文件06章图纸01"/>
      <w:bookmarkEnd w:id="984"/>
      <w:bookmarkStart w:id="985" w:name="_Toc430530520"/>
      <w:bookmarkStart w:id="986" w:name="_Toc287620804"/>
    </w:p>
    <w:bookmarkEnd w:id="985"/>
    <w:bookmarkEnd w:id="986"/>
    <w:p>
      <w:pPr>
        <w:spacing w:line="360" w:lineRule="auto"/>
        <w:rPr>
          <w:rFonts w:ascii="宋体" w:hAnsi="宋体"/>
          <w:color w:val="auto"/>
        </w:rPr>
      </w:pPr>
      <w:r>
        <w:rPr>
          <w:rFonts w:ascii="宋体" w:hAnsi="宋体"/>
          <w:color w:val="auto"/>
          <w:szCs w:val="20"/>
        </w:rPr>
        <w:br w:type="page"/>
      </w:r>
    </w:p>
    <w:p>
      <w:pPr>
        <w:spacing w:before="0" w:after="0" w:line="360" w:lineRule="auto"/>
        <w:jc w:val="center"/>
        <w:outlineLvl w:val="0"/>
        <w:rPr>
          <w:rFonts w:ascii="宋体" w:hAnsi="宋体"/>
          <w:color w:val="auto"/>
          <w:sz w:val="52"/>
          <w:szCs w:val="52"/>
        </w:rPr>
      </w:pPr>
      <w:bookmarkStart w:id="987" w:name="_Toc12609"/>
      <w:bookmarkStart w:id="988" w:name="_Toc26872"/>
      <w:bookmarkStart w:id="989" w:name="_Toc95830749"/>
      <w:bookmarkStart w:id="990" w:name="_Toc13838"/>
      <w:bookmarkStart w:id="991" w:name="_Toc12607"/>
      <w:bookmarkStart w:id="992" w:name="_Toc3192"/>
      <w:r>
        <w:rPr>
          <w:rFonts w:hint="eastAsia" w:ascii="宋体" w:hAnsi="宋体"/>
          <w:color w:val="auto"/>
          <w:sz w:val="52"/>
          <w:szCs w:val="52"/>
        </w:rPr>
        <w:t>第 三 卷</w:t>
      </w:r>
      <w:bookmarkEnd w:id="987"/>
      <w:bookmarkEnd w:id="988"/>
      <w:bookmarkEnd w:id="989"/>
      <w:bookmarkEnd w:id="990"/>
      <w:bookmarkEnd w:id="991"/>
      <w:bookmarkEnd w:id="992"/>
      <w:bookmarkStart w:id="993" w:name="_Toc536619968"/>
      <w:bookmarkStart w:id="994" w:name="_Toc536797255"/>
      <w:bookmarkStart w:id="995" w:name="_Toc536628344"/>
      <w:bookmarkStart w:id="996" w:name="_Toc13211764"/>
      <w:bookmarkStart w:id="997" w:name="_Toc536796986"/>
      <w:bookmarkStart w:id="998" w:name="_Toc509218847"/>
      <w:bookmarkStart w:id="999" w:name="_Toc536796850"/>
      <w:bookmarkStart w:id="1000" w:name="_Toc534185826"/>
      <w:bookmarkStart w:id="1001" w:name="_Toc536797121"/>
      <w:bookmarkStart w:id="1002" w:name="_Toc13210772"/>
      <w:bookmarkStart w:id="1003" w:name="_Toc536621880"/>
      <w:bookmarkStart w:id="1004" w:name="_Toc536797390"/>
      <w:bookmarkStart w:id="1005" w:name="_Toc536620100"/>
      <w:bookmarkStart w:id="1006" w:name="_Toc13211206"/>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Pr>
        <w:rPr>
          <w:rFonts w:ascii="宋体" w:hAnsi="宋体"/>
          <w:color w:val="auto"/>
        </w:rPr>
      </w:pPr>
      <w:bookmarkStart w:id="1007" w:name="招标文件07章技术标准和要求"/>
      <w:bookmarkEnd w:id="1007"/>
      <w:r>
        <w:rPr>
          <w:rFonts w:ascii="宋体" w:hAnsi="宋体"/>
          <w:color w:val="auto"/>
        </w:rPr>
        <w:br w:type="page"/>
      </w:r>
      <w:bookmarkStart w:id="1008" w:name="招标文件08章投标文件格式"/>
      <w:bookmarkEnd w:id="1008"/>
      <w:bookmarkStart w:id="1009" w:name="_Toc287607865"/>
      <w:bookmarkStart w:id="1010" w:name="_Toc287620812"/>
    </w:p>
    <w:p>
      <w:pPr>
        <w:pStyle w:val="4"/>
        <w:spacing w:line="360" w:lineRule="auto"/>
        <w:jc w:val="center"/>
        <w:rPr>
          <w:rFonts w:ascii="宋体" w:hAnsi="宋体"/>
          <w:color w:val="auto"/>
        </w:rPr>
      </w:pPr>
      <w:bookmarkStart w:id="1011" w:name="_Toc95830750"/>
      <w:bookmarkStart w:id="1012" w:name="_Toc430530528"/>
      <w:bookmarkStart w:id="1013" w:name="_Toc534185829"/>
      <w:bookmarkStart w:id="1014" w:name="_Toc509218852"/>
      <w:bookmarkStart w:id="1015" w:name="_Toc7019"/>
      <w:bookmarkStart w:id="1016" w:name="_Toc26888"/>
      <w:bookmarkStart w:id="1017" w:name="_Toc22015"/>
      <w:bookmarkStart w:id="1018" w:name="_Toc32394"/>
      <w:bookmarkStart w:id="1019" w:name="_Toc10752"/>
      <w:r>
        <w:rPr>
          <w:rFonts w:hint="eastAsia" w:ascii="宋体" w:hAnsi="宋体"/>
          <w:color w:val="auto"/>
        </w:rPr>
        <w:t>第</w:t>
      </w:r>
      <w:r>
        <w:rPr>
          <w:rFonts w:hint="eastAsia" w:ascii="宋体" w:hAnsi="宋体"/>
          <w:color w:val="auto"/>
          <w:lang w:val="en-US" w:eastAsia="zh-CN"/>
        </w:rPr>
        <w:t>七</w:t>
      </w:r>
      <w:r>
        <w:rPr>
          <w:rFonts w:hint="eastAsia" w:ascii="宋体" w:hAnsi="宋体"/>
          <w:color w:val="auto"/>
        </w:rPr>
        <w:t>章  投标文件格式</w:t>
      </w:r>
      <w:bookmarkEnd w:id="1009"/>
      <w:bookmarkEnd w:id="1010"/>
      <w:bookmarkEnd w:id="1011"/>
      <w:bookmarkEnd w:id="1012"/>
      <w:bookmarkEnd w:id="1013"/>
      <w:bookmarkEnd w:id="1014"/>
      <w:bookmarkEnd w:id="1015"/>
      <w:bookmarkEnd w:id="1016"/>
      <w:bookmarkEnd w:id="1017"/>
      <w:bookmarkEnd w:id="1018"/>
      <w:bookmarkEnd w:id="1019"/>
    </w:p>
    <w:p>
      <w:pPr>
        <w:spacing w:line="360" w:lineRule="auto"/>
        <w:rPr>
          <w:rFonts w:ascii="宋体" w:hAnsi="宋体"/>
          <w:color w:val="auto"/>
          <w:sz w:val="32"/>
          <w:szCs w:val="32"/>
        </w:rPr>
      </w:pPr>
    </w:p>
    <w:p>
      <w:pPr>
        <w:spacing w:line="420" w:lineRule="exact"/>
        <w:jc w:val="center"/>
        <w:rPr>
          <w:rFonts w:ascii="宋体" w:hAnsi="宋体"/>
          <w:b/>
          <w:bCs/>
          <w:color w:val="auto"/>
          <w:sz w:val="36"/>
          <w:szCs w:val="36"/>
        </w:rPr>
      </w:pPr>
      <w:r>
        <w:rPr>
          <w:rFonts w:ascii="宋体" w:hAnsi="宋体"/>
          <w:color w:val="auto"/>
          <w:szCs w:val="20"/>
        </w:rPr>
        <w:br w:type="page"/>
      </w:r>
      <w:bookmarkStart w:id="1020" w:name="_Toc224103493"/>
      <w:r>
        <w:rPr>
          <w:rFonts w:hint="eastAsia" w:ascii="宋体" w:hAnsi="宋体"/>
          <w:b/>
          <w:bCs/>
          <w:color w:val="auto"/>
          <w:sz w:val="36"/>
          <w:szCs w:val="36"/>
        </w:rPr>
        <w:t>目  录</w:t>
      </w:r>
      <w:bookmarkEnd w:id="1020"/>
    </w:p>
    <w:p>
      <w:pPr>
        <w:spacing w:line="420" w:lineRule="exact"/>
        <w:jc w:val="center"/>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1021" w:name="_Toc29470"/>
      <w:bookmarkStart w:id="1022" w:name="_Toc20869"/>
      <w:r>
        <w:rPr>
          <w:rFonts w:hint="eastAsia" w:ascii="宋体" w:hAnsi="宋体"/>
          <w:b/>
          <w:color w:val="auto"/>
        </w:rPr>
        <w:t>一</w:t>
      </w:r>
      <w:r>
        <w:rPr>
          <w:rFonts w:ascii="宋体" w:hAnsi="宋体"/>
          <w:b/>
          <w:color w:val="auto"/>
        </w:rPr>
        <w:t>、投标函部分</w:t>
      </w:r>
      <w:bookmarkEnd w:id="1021"/>
      <w:bookmarkEnd w:id="10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（一）投标函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（二）投标函附录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ascii="宋体" w:hAnsi="宋体"/>
          <w:color w:val="auto"/>
        </w:rPr>
        <w:t>（三）</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四</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pStyle w:val="25"/>
        <w:keepNext w:val="0"/>
        <w:keepLines w:val="0"/>
        <w:pageBreakBefore w:val="0"/>
        <w:widowControl w:val="0"/>
        <w:kinsoku/>
        <w:wordWrap/>
        <w:overflowPunct/>
        <w:topLinePunct w:val="0"/>
        <w:autoSpaceDE/>
        <w:autoSpaceDN/>
        <w:bidi w:val="0"/>
        <w:adjustRightInd/>
        <w:snapToGrid/>
        <w:spacing w:line="360" w:lineRule="auto"/>
        <w:rPr>
          <w:rFonts w:hint="default" w:eastAsia="宋体"/>
          <w:color w:val="auto"/>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低价风险担保提交承诺书</w:t>
      </w: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1023" w:name="_Toc21018"/>
      <w:bookmarkStart w:id="1024" w:name="_Toc28888"/>
      <w:r>
        <w:rPr>
          <w:rFonts w:hint="eastAsia" w:ascii="宋体" w:hAnsi="宋体"/>
          <w:b/>
          <w:color w:val="auto"/>
        </w:rPr>
        <w:t>二</w:t>
      </w:r>
      <w:r>
        <w:rPr>
          <w:rFonts w:ascii="宋体" w:hAnsi="宋体"/>
          <w:b/>
          <w:color w:val="auto"/>
        </w:rPr>
        <w:t>、</w:t>
      </w:r>
      <w:r>
        <w:rPr>
          <w:rFonts w:hint="eastAsia" w:ascii="宋体" w:hAnsi="宋体"/>
          <w:b/>
          <w:color w:val="auto"/>
          <w:lang w:val="en-US" w:eastAsia="zh-CN"/>
        </w:rPr>
        <w:t>经济</w:t>
      </w:r>
      <w:r>
        <w:rPr>
          <w:rFonts w:ascii="宋体" w:hAnsi="宋体"/>
          <w:b/>
          <w:color w:val="auto"/>
        </w:rPr>
        <w:t>部分</w:t>
      </w:r>
      <w:bookmarkEnd w:id="1023"/>
      <w:bookmarkEnd w:id="10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outlineLvl w:val="9"/>
        <w:rPr>
          <w:rFonts w:hint="default" w:ascii="宋体" w:hAnsi="宋体"/>
          <w:color w:val="auto"/>
          <w:lang w:val="en-US" w:eastAsia="zh-CN"/>
        </w:rPr>
      </w:pPr>
      <w:bookmarkStart w:id="1025" w:name="_Toc12649"/>
      <w:r>
        <w:rPr>
          <w:rFonts w:hint="eastAsia" w:ascii="宋体" w:hAnsi="宋体"/>
          <w:color w:val="auto"/>
          <w:lang w:eastAsia="zh-CN"/>
        </w:rPr>
        <w:t>（</w:t>
      </w:r>
      <w:r>
        <w:rPr>
          <w:rFonts w:hint="eastAsia" w:ascii="宋体" w:hAnsi="宋体"/>
          <w:color w:val="auto"/>
          <w:lang w:val="en-US" w:eastAsia="zh-CN"/>
        </w:rPr>
        <w:t>一</w:t>
      </w:r>
      <w:r>
        <w:rPr>
          <w:rFonts w:hint="eastAsia" w:ascii="宋体" w:hAnsi="宋体"/>
          <w:color w:val="auto"/>
          <w:lang w:eastAsia="zh-CN"/>
        </w:rPr>
        <w:t>）</w:t>
      </w:r>
      <w:r>
        <w:rPr>
          <w:rFonts w:hint="eastAsia" w:ascii="宋体" w:hAnsi="宋体"/>
          <w:color w:val="auto"/>
          <w:lang w:val="en-US" w:eastAsia="zh-CN"/>
        </w:rPr>
        <w:t>已标价工程量清单</w:t>
      </w:r>
      <w:bookmarkEnd w:id="1025"/>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1026" w:name="_Toc32192"/>
      <w:bookmarkStart w:id="1027" w:name="_Toc10697"/>
      <w:r>
        <w:rPr>
          <w:rFonts w:hint="eastAsia" w:ascii="宋体" w:hAnsi="宋体"/>
          <w:b/>
          <w:color w:val="auto"/>
        </w:rPr>
        <w:t>三</w:t>
      </w:r>
      <w:r>
        <w:rPr>
          <w:rFonts w:ascii="宋体" w:hAnsi="宋体"/>
          <w:b/>
          <w:color w:val="auto"/>
        </w:rPr>
        <w:t>、</w:t>
      </w:r>
      <w:r>
        <w:rPr>
          <w:rFonts w:hint="eastAsia" w:ascii="宋体" w:hAnsi="宋体"/>
          <w:b/>
          <w:color w:val="auto"/>
        </w:rPr>
        <w:t>资格审查部分</w:t>
      </w:r>
      <w:bookmarkEnd w:id="1026"/>
      <w:bookmarkEnd w:id="10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rPr>
      </w:pPr>
      <w:r>
        <w:rPr>
          <w:rFonts w:ascii="宋体" w:hAnsi="宋体"/>
          <w:color w:val="auto"/>
        </w:rPr>
        <w:t>（一）</w:t>
      </w:r>
      <w:r>
        <w:rPr>
          <w:rFonts w:hint="eastAsia" w:ascii="宋体" w:hAnsi="宋体"/>
          <w:color w:val="auto"/>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hint="eastAsia" w:ascii="宋体" w:hAnsi="宋体"/>
          <w:color w:val="auto"/>
          <w:lang w:eastAsia="zh-CN"/>
        </w:rPr>
        <w:t>（</w:t>
      </w:r>
      <w:r>
        <w:rPr>
          <w:rFonts w:hint="eastAsia" w:ascii="宋体" w:hAnsi="宋体"/>
          <w:color w:val="auto"/>
          <w:lang w:val="en-US" w:eastAsia="zh-CN"/>
        </w:rPr>
        <w:t>二</w:t>
      </w:r>
      <w:r>
        <w:rPr>
          <w:rFonts w:hint="eastAsia" w:ascii="宋体" w:hAnsi="宋体"/>
          <w:color w:val="auto"/>
          <w:lang w:eastAsia="zh-CN"/>
        </w:rPr>
        <w:t>）</w:t>
      </w:r>
      <w:r>
        <w:rPr>
          <w:rFonts w:hint="eastAsia" w:ascii="宋体" w:hAnsi="宋体"/>
          <w:color w:val="auto"/>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olor w:val="auto"/>
          <w:lang w:val="en-US" w:eastAsia="zh-CN"/>
        </w:rPr>
      </w:pPr>
      <w:r>
        <w:rPr>
          <w:rFonts w:ascii="宋体" w:hAnsi="宋体"/>
          <w:color w:val="auto"/>
        </w:rPr>
        <w:t>（</w:t>
      </w:r>
      <w:r>
        <w:rPr>
          <w:rFonts w:hint="eastAsia" w:ascii="宋体" w:hAnsi="宋体"/>
          <w:color w:val="auto"/>
          <w:lang w:val="en-US" w:eastAsia="zh-CN"/>
        </w:rPr>
        <w:t>三</w:t>
      </w:r>
      <w:r>
        <w:rPr>
          <w:rFonts w:ascii="宋体" w:hAnsi="宋体"/>
          <w:color w:val="auto"/>
        </w:rPr>
        <w:t>）</w:t>
      </w:r>
      <w:r>
        <w:rPr>
          <w:rFonts w:hint="eastAsia" w:ascii="宋体" w:hAnsi="宋体"/>
          <w:color w:val="auto"/>
          <w:lang w:val="en-US" w:eastAsia="zh-CN"/>
        </w:rPr>
        <w:t>营业执照、资质证书、安全生产许可证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）其他资料</w:t>
      </w:r>
    </w:p>
    <w:p>
      <w:pPr>
        <w:autoSpaceDE w:val="0"/>
        <w:autoSpaceDN w:val="0"/>
        <w:adjustRightInd w:val="0"/>
        <w:spacing w:line="420" w:lineRule="exact"/>
        <w:jc w:val="left"/>
        <w:rPr>
          <w:rFonts w:ascii="宋体" w:hAnsi="宋体"/>
          <w:color w:val="auto"/>
          <w:kern w:val="0"/>
          <w:szCs w:val="21"/>
          <w:u w:val="single"/>
        </w:rPr>
      </w:pPr>
      <w:r>
        <w:rPr>
          <w:rFonts w:ascii="宋体" w:hAnsi="宋体"/>
          <w:b/>
          <w:color w:val="auto"/>
          <w:kern w:val="0"/>
          <w:sz w:val="24"/>
        </w:rPr>
        <w:br w:type="page"/>
      </w:r>
      <w:bookmarkStart w:id="1028" w:name="_Toc287607866"/>
      <w:bookmarkStart w:id="1029" w:name="_Toc224103494"/>
      <w:bookmarkStart w:id="1030" w:name="_Toc430530529"/>
      <w:bookmarkStart w:id="1031" w:name="_Toc287620813"/>
      <w:bookmarkStart w:id="1032" w:name="_Toc277082642"/>
    </w:p>
    <w:p>
      <w:pPr>
        <w:pStyle w:val="5"/>
        <w:spacing w:line="360" w:lineRule="auto"/>
        <w:jc w:val="center"/>
        <w:rPr>
          <w:rFonts w:ascii="宋体" w:hAnsi="宋体"/>
          <w:b w:val="0"/>
          <w:bCs w:val="0"/>
          <w:color w:val="auto"/>
          <w:sz w:val="44"/>
          <w:szCs w:val="44"/>
        </w:rPr>
      </w:pPr>
      <w:bookmarkStart w:id="1033" w:name="_Toc4339"/>
      <w:bookmarkStart w:id="1034" w:name="_Toc17471"/>
      <w:bookmarkStart w:id="1035" w:name="_Toc29187"/>
      <w:bookmarkStart w:id="1036" w:name="_Toc4449"/>
      <w:bookmarkStart w:id="1037" w:name="_Toc95830751"/>
      <w:bookmarkStart w:id="1038" w:name="_Toc23312"/>
      <w:r>
        <w:rPr>
          <w:rFonts w:hint="eastAsia" w:ascii="宋体" w:hAnsi="宋体"/>
          <w:b w:val="0"/>
          <w:bCs w:val="0"/>
          <w:color w:val="auto"/>
          <w:sz w:val="44"/>
          <w:szCs w:val="44"/>
        </w:rPr>
        <w:t>一、投标函部分</w:t>
      </w:r>
      <w:bookmarkEnd w:id="1028"/>
      <w:bookmarkEnd w:id="1029"/>
      <w:bookmarkEnd w:id="1030"/>
      <w:bookmarkEnd w:id="1031"/>
      <w:bookmarkEnd w:id="1032"/>
      <w:bookmarkEnd w:id="1033"/>
      <w:bookmarkEnd w:id="1034"/>
      <w:bookmarkEnd w:id="1035"/>
      <w:bookmarkEnd w:id="1036"/>
      <w:bookmarkEnd w:id="1037"/>
      <w:bookmarkEnd w:id="1038"/>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rPr>
      </w:pPr>
      <w:r>
        <w:rPr>
          <w:rFonts w:ascii="宋体" w:hAnsi="宋体"/>
          <w:color w:val="auto"/>
          <w:kern w:val="0"/>
          <w:sz w:val="28"/>
          <w:szCs w:val="28"/>
        </w:rPr>
        <w:br w:type="page"/>
      </w:r>
    </w:p>
    <w:p>
      <w:pPr>
        <w:spacing w:line="360" w:lineRule="auto"/>
        <w:jc w:val="center"/>
        <w:rPr>
          <w:rFonts w:ascii="宋体" w:hAnsi="宋体"/>
          <w:color w:val="auto"/>
          <w:kern w:val="0"/>
          <w:sz w:val="32"/>
          <w:szCs w:val="32"/>
        </w:rPr>
      </w:pPr>
      <w:bookmarkStart w:id="1039" w:name="_Hlk45038325"/>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1040" w:name="_Toc11172"/>
      <w:r>
        <w:rPr>
          <w:rFonts w:hint="eastAsia" w:ascii="宋体" w:hAnsi="宋体"/>
          <w:color w:val="auto"/>
          <w:kern w:val="0"/>
          <w:sz w:val="36"/>
          <w:szCs w:val="36"/>
        </w:rPr>
        <w:t>投标函部分</w:t>
      </w:r>
      <w:bookmarkEnd w:id="1040"/>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1039"/>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（一）投标函</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（二）投标函附录</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（三）法定代表人身份证明</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（四）授权委托书</w:t>
      </w:r>
    </w:p>
    <w:p>
      <w:p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 w:val="24"/>
          <w:lang w:eastAsia="zh-CN"/>
        </w:rPr>
        <w:t>（</w:t>
      </w:r>
      <w:r>
        <w:rPr>
          <w:rFonts w:hint="eastAsia" w:ascii="宋体" w:hAnsi="宋体"/>
          <w:color w:val="auto"/>
          <w:kern w:val="0"/>
          <w:sz w:val="24"/>
          <w:lang w:val="en-US" w:eastAsia="zh-CN"/>
        </w:rPr>
        <w:t>五</w:t>
      </w:r>
      <w:r>
        <w:rPr>
          <w:rFonts w:hint="eastAsia" w:ascii="宋体" w:hAnsi="宋体"/>
          <w:color w:val="auto"/>
          <w:kern w:val="0"/>
          <w:sz w:val="24"/>
          <w:lang w:eastAsia="zh-CN"/>
        </w:rPr>
        <w:t>）</w:t>
      </w:r>
      <w:r>
        <w:rPr>
          <w:rFonts w:hint="eastAsia" w:ascii="宋体" w:hAnsi="宋体"/>
          <w:color w:val="auto"/>
          <w:kern w:val="0"/>
          <w:sz w:val="24"/>
        </w:rPr>
        <w:t>低价风险担保提交承诺书（如有）</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spacing w:after="260"/>
        <w:jc w:val="center"/>
        <w:outlineLvl w:val="3"/>
        <w:rPr>
          <w:rFonts w:ascii="宋体" w:hAnsi="宋体"/>
          <w:b/>
          <w:color w:val="auto"/>
        </w:rPr>
      </w:pPr>
      <w:bookmarkStart w:id="1041" w:name="_Toc534185831"/>
      <w:bookmarkStart w:id="1042" w:name="_Toc277082643"/>
      <w:bookmarkStart w:id="1043" w:name="_Toc224103495"/>
      <w:bookmarkStart w:id="1044" w:name="_Toc287620814"/>
      <w:bookmarkStart w:id="1045" w:name="_Toc430530530"/>
      <w:bookmarkStart w:id="1046" w:name="_Toc287607867"/>
      <w:bookmarkStart w:id="1047" w:name="_Toc509218854"/>
      <w:r>
        <w:rPr>
          <w:rFonts w:ascii="宋体" w:hAnsi="宋体"/>
          <w:color w:val="auto"/>
        </w:rPr>
        <w:br w:type="page"/>
      </w:r>
      <w:bookmarkStart w:id="1048" w:name="_Toc27438"/>
      <w:bookmarkStart w:id="1049" w:name="_Toc6648"/>
      <w:bookmarkStart w:id="1050" w:name="_Toc24616"/>
      <w:r>
        <w:rPr>
          <w:rFonts w:hint="eastAsia" w:ascii="宋体" w:hAnsi="宋体"/>
          <w:b/>
          <w:bCs/>
          <w:snapToGrid w:val="0"/>
          <w:color w:val="auto"/>
          <w:kern w:val="0"/>
          <w:sz w:val="32"/>
          <w:szCs w:val="32"/>
        </w:rPr>
        <w:t>（一）投标函</w:t>
      </w:r>
      <w:bookmarkEnd w:id="1041"/>
      <w:bookmarkEnd w:id="1042"/>
      <w:bookmarkEnd w:id="1043"/>
      <w:bookmarkEnd w:id="1044"/>
      <w:bookmarkEnd w:id="1045"/>
      <w:bookmarkEnd w:id="1046"/>
      <w:bookmarkEnd w:id="1047"/>
      <w:bookmarkEnd w:id="1048"/>
      <w:bookmarkEnd w:id="1049"/>
      <w:bookmarkEnd w:id="1050"/>
    </w:p>
    <w:p>
      <w:pPr>
        <w:tabs>
          <w:tab w:val="left" w:pos="2640"/>
        </w:tabs>
        <w:autoSpaceDE w:val="0"/>
        <w:autoSpaceDN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（项目名称）</w:t>
      </w:r>
      <w:r>
        <w:rPr>
          <w:rFonts w:hint="eastAsia" w:ascii="宋体" w:hAnsi="宋体"/>
          <w:snapToGrid w:val="0"/>
          <w:color w:val="auto"/>
          <w:kern w:val="0"/>
          <w:szCs w:val="21"/>
        </w:rPr>
        <w:t>工程</w:t>
      </w:r>
      <w:r>
        <w:rPr>
          <w:rFonts w:ascii="宋体" w:hAnsi="宋体"/>
          <w:snapToGrid w:val="0"/>
          <w:color w:val="auto"/>
          <w:kern w:val="0"/>
          <w:szCs w:val="21"/>
        </w:rPr>
        <w:t>招标文件</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包括澄清或修改文件</w:t>
      </w:r>
      <w:r>
        <w:rPr>
          <w:rFonts w:hint="eastAsia" w:ascii="宋体" w:hAnsi="宋体"/>
          <w:snapToGrid w:val="0"/>
          <w:color w:val="auto"/>
          <w:kern w:val="0"/>
          <w:szCs w:val="21"/>
          <w:lang w:eastAsia="zh-CN"/>
        </w:rPr>
        <w:t>）</w:t>
      </w:r>
      <w:r>
        <w:rPr>
          <w:rFonts w:ascii="宋体" w:hAnsi="宋体"/>
          <w:snapToGrid w:val="0"/>
          <w:color w:val="auto"/>
          <w:kern w:val="0"/>
          <w:szCs w:val="21"/>
        </w:rPr>
        <w:t>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宋体" w:hAnsi="宋体"/>
          <w:snapToGrid w:val="0"/>
          <w:color w:val="auto"/>
          <w:kern w:val="0"/>
          <w:szCs w:val="21"/>
          <w:u w:val="single"/>
          <w:lang w:val="en-US" w:eastAsia="zh-CN"/>
        </w:rPr>
        <w:t>重庆市建筑科学研究院有限公司“江南分中心实验室搬迁项目（实验区）劳务分包（装饰工程及水电智能化工程</w:t>
      </w:r>
      <w:r>
        <w:rPr>
          <w:rFonts w:hint="eastAsia" w:ascii="仿宋" w:hAnsi="仿宋" w:eastAsia="仿宋" w:cs="仿宋"/>
          <w:color w:val="auto"/>
          <w:sz w:val="28"/>
          <w:szCs w:val="28"/>
          <w:u w:val="single"/>
          <w:lang w:val="en-US" w:eastAsia="zh-CN"/>
        </w:rPr>
        <w:t>）</w:t>
      </w:r>
      <w:r>
        <w:rPr>
          <w:rFonts w:hint="default" w:ascii="Times New Roman" w:hAnsi="Times New Roman" w:cs="Times New Roman"/>
          <w:color w:val="auto"/>
        </w:rPr>
        <w:t>报价为含税总价：人民币￥</w:t>
      </w:r>
      <w:r>
        <w:rPr>
          <w:rFonts w:hint="default" w:ascii="Times New Roman" w:hAnsi="Times New Roman" w:cs="Times New Roman"/>
          <w:color w:val="auto"/>
          <w:u w:val="single"/>
        </w:rPr>
        <w:t xml:space="preserve">             </w:t>
      </w:r>
      <w:r>
        <w:rPr>
          <w:rFonts w:hint="default" w:ascii="Times New Roman" w:hAnsi="Times New Roman" w:cs="Times New Roman"/>
          <w:color w:val="auto"/>
        </w:rPr>
        <w:t>元，（大写</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元），税率为</w:t>
      </w:r>
      <w:r>
        <w:rPr>
          <w:rFonts w:hint="eastAsia" w:cs="Times New Roman"/>
          <w:color w:val="auto"/>
          <w:u w:val="single"/>
          <w:lang w:val="en-US" w:eastAsia="zh-CN"/>
        </w:rPr>
        <w:t xml:space="preserve">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ascii="宋体" w:hAnsi="宋体"/>
          <w:snapToGrid w:val="0"/>
          <w:color w:val="auto"/>
          <w:kern w:val="0"/>
          <w:szCs w:val="21"/>
        </w:rPr>
        <w:t>工期</w:t>
      </w:r>
      <w:r>
        <w:rPr>
          <w:rFonts w:hint="eastAsia" w:ascii="宋体" w:hAnsi="宋体"/>
          <w:snapToGrid w:val="0"/>
          <w:color w:val="auto"/>
          <w:kern w:val="0"/>
          <w:szCs w:val="21"/>
          <w:u w:val="single"/>
        </w:rPr>
        <w:t>符合招标文件的要求</w:t>
      </w:r>
      <w:r>
        <w:rPr>
          <w:rFonts w:hint="eastAsia" w:ascii="宋体" w:hAnsi="宋体" w:cs="宋体"/>
          <w:snapToGrid w:val="0"/>
          <w:color w:val="auto"/>
          <w:kern w:val="0"/>
          <w:position w:val="-2"/>
          <w:szCs w:val="21"/>
        </w:rPr>
        <w:t>，</w:t>
      </w:r>
      <w:r>
        <w:rPr>
          <w:rFonts w:hint="eastAsia" w:ascii="宋体" w:hAnsi="宋体"/>
          <w:snapToGrid w:val="0"/>
          <w:color w:val="auto"/>
          <w:kern w:val="0"/>
          <w:szCs w:val="21"/>
          <w:lang w:val="en-US" w:eastAsia="zh-CN"/>
        </w:rPr>
        <w:t>缺陷责任期</w:t>
      </w:r>
      <w:r>
        <w:rPr>
          <w:rFonts w:hint="eastAsia" w:ascii="宋体" w:hAnsi="宋体"/>
          <w:snapToGrid w:val="0"/>
          <w:color w:val="auto"/>
          <w:kern w:val="0"/>
          <w:szCs w:val="21"/>
          <w:u w:val="single"/>
        </w:rPr>
        <w:t>符合招标文件的要求</w:t>
      </w:r>
      <w:r>
        <w:rPr>
          <w:rFonts w:hint="eastAsia" w:ascii="宋体" w:hAnsi="宋体"/>
          <w:snapToGrid w:val="0"/>
          <w:color w:val="auto"/>
          <w:kern w:val="0"/>
          <w:szCs w:val="21"/>
          <w:u w:val="none"/>
          <w:lang w:val="en-US" w:eastAsia="zh-CN"/>
        </w:rPr>
        <w:t>，</w:t>
      </w:r>
      <w:r>
        <w:rPr>
          <w:rFonts w:hint="eastAsia" w:ascii="宋体" w:hAnsi="宋体"/>
          <w:snapToGrid w:val="0"/>
          <w:color w:val="auto"/>
          <w:kern w:val="0"/>
          <w:szCs w:val="21"/>
          <w:lang w:val="en-US" w:eastAsia="zh-CN"/>
        </w:rPr>
        <w:t>按合同约定实施和完成承包工程，修补工程中的任何缺陷</w:t>
      </w:r>
      <w:r>
        <w:rPr>
          <w:rFonts w:hint="eastAsia" w:ascii="宋体" w:hAnsi="宋体"/>
          <w:snapToGrid w:val="0"/>
          <w:color w:val="auto"/>
          <w:kern w:val="0"/>
          <w:szCs w:val="21"/>
          <w:u w:val="none"/>
          <w:lang w:val="en-US" w:eastAsia="zh-CN"/>
        </w:rPr>
        <w:t>，</w:t>
      </w:r>
      <w:r>
        <w:rPr>
          <w:rFonts w:ascii="宋体" w:hAnsi="宋体"/>
          <w:snapToGrid w:val="0"/>
          <w:color w:val="auto"/>
          <w:kern w:val="0"/>
          <w:szCs w:val="21"/>
        </w:rPr>
        <w:t>工程质量达到</w:t>
      </w:r>
      <w:r>
        <w:rPr>
          <w:rFonts w:hint="eastAsia" w:ascii="宋体" w:hAnsi="宋体"/>
          <w:snapToGrid w:val="0"/>
          <w:color w:val="auto"/>
          <w:kern w:val="0"/>
          <w:szCs w:val="21"/>
          <w:u w:val="single"/>
        </w:rPr>
        <w:t>招标文件的要求</w:t>
      </w:r>
      <w:r>
        <w:rPr>
          <w:rFonts w:hint="eastAsia" w:ascii="宋体" w:hAnsi="宋体"/>
          <w:snapToGrid w:val="0"/>
          <w:color w:val="auto"/>
          <w:kern w:val="0"/>
          <w:szCs w:val="21"/>
        </w:rPr>
        <w:t>。</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ascii="宋体" w:hAnsi="宋体"/>
          <w:snapToGrid w:val="0"/>
          <w:color w:val="auto"/>
          <w:kern w:val="0"/>
          <w:sz w:val="10"/>
          <w:szCs w:val="10"/>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）。投标保证金有</w:t>
      </w:r>
      <w:r>
        <w:rPr>
          <w:rFonts w:hint="eastAsia" w:ascii="宋体" w:hAnsi="宋体"/>
          <w:snapToGrid w:val="0"/>
          <w:color w:val="auto"/>
          <w:kern w:val="0"/>
          <w:szCs w:val="21"/>
        </w:rPr>
        <w:t>效</w:t>
      </w:r>
      <w:r>
        <w:rPr>
          <w:rFonts w:ascii="宋体" w:hAnsi="宋体"/>
          <w:snapToGrid w:val="0"/>
          <w:color w:val="auto"/>
          <w:kern w:val="0"/>
          <w:szCs w:val="21"/>
        </w:rPr>
        <w:t>期与投标有</w:t>
      </w:r>
      <w:r>
        <w:rPr>
          <w:rFonts w:hint="eastAsia" w:ascii="宋体" w:hAnsi="宋体"/>
          <w:snapToGrid w:val="0"/>
          <w:color w:val="auto"/>
          <w:kern w:val="0"/>
          <w:szCs w:val="21"/>
        </w:rPr>
        <w:t>效</w:t>
      </w:r>
      <w:r>
        <w:rPr>
          <w:rFonts w:ascii="宋体" w:hAnsi="宋体"/>
          <w:snapToGrid w:val="0"/>
          <w:color w:val="auto"/>
          <w:kern w:val="0"/>
          <w:szCs w:val="21"/>
        </w:rPr>
        <w:t>期一致，在此期间，若我方违反招投标有关法律、法规及本招标文件的相关规定，投标保证金的受益人为招标人。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项规定的任何一种情形。同时我方承诺接受招标文件及附件、澄清及修改通知中所有的内容。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spacing w:after="260"/>
        <w:jc w:val="center"/>
        <w:outlineLvl w:val="3"/>
        <w:rPr>
          <w:rFonts w:ascii="宋体" w:hAnsi="宋体"/>
          <w:snapToGrid w:val="0"/>
          <w:color w:val="auto"/>
          <w:kern w:val="0"/>
          <w:szCs w:val="21"/>
        </w:rPr>
      </w:pPr>
      <w:bookmarkStart w:id="1051" w:name="_Toc287607868"/>
      <w:bookmarkStart w:id="1052" w:name="_Toc277082644"/>
      <w:bookmarkStart w:id="1053" w:name="_Toc287620815"/>
      <w:bookmarkStart w:id="1054" w:name="_Toc430530531"/>
      <w:bookmarkStart w:id="1055" w:name="_Toc224103496"/>
      <w:r>
        <w:rPr>
          <w:rFonts w:ascii="宋体" w:hAnsi="宋体"/>
          <w:color w:val="auto"/>
          <w:sz w:val="28"/>
        </w:rPr>
        <w:br w:type="page"/>
      </w:r>
      <w:bookmarkStart w:id="1056" w:name="_Toc7591"/>
      <w:bookmarkStart w:id="1057" w:name="_Toc509218855"/>
      <w:bookmarkStart w:id="1058" w:name="_Toc1578"/>
      <w:bookmarkStart w:id="1059" w:name="_Toc5470"/>
      <w:bookmarkStart w:id="1060" w:name="_Toc534185832"/>
      <w:r>
        <w:rPr>
          <w:rFonts w:ascii="宋体" w:hAnsi="宋体"/>
          <w:b/>
          <w:bCs/>
          <w:snapToGrid w:val="0"/>
          <w:color w:val="auto"/>
          <w:kern w:val="0"/>
          <w:sz w:val="32"/>
          <w:szCs w:val="32"/>
        </w:rPr>
        <w:t>（二）投标函附录</w:t>
      </w:r>
      <w:bookmarkEnd w:id="1051"/>
      <w:bookmarkEnd w:id="1052"/>
      <w:bookmarkEnd w:id="1053"/>
      <w:bookmarkEnd w:id="1054"/>
      <w:bookmarkEnd w:id="1055"/>
      <w:bookmarkEnd w:id="1056"/>
      <w:bookmarkEnd w:id="1057"/>
      <w:bookmarkEnd w:id="1058"/>
      <w:bookmarkEnd w:id="1059"/>
      <w:bookmarkEnd w:id="1060"/>
    </w:p>
    <w:tbl>
      <w:tblPr>
        <w:tblStyle w:val="19"/>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4201"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缺陷责任期</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质量标准</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spacing w:line="480" w:lineRule="auto"/>
        <w:jc w:val="center"/>
        <w:outlineLvl w:val="3"/>
        <w:rPr>
          <w:rFonts w:ascii="宋体" w:hAnsi="宋体"/>
          <w:color w:val="auto"/>
          <w:sz w:val="28"/>
        </w:rPr>
      </w:pPr>
      <w:r>
        <w:rPr>
          <w:rFonts w:ascii="宋体" w:hAnsi="宋体"/>
          <w:snapToGrid w:val="0"/>
          <w:color w:val="auto"/>
        </w:rPr>
        <w:br w:type="page"/>
      </w:r>
      <w:bookmarkStart w:id="1061" w:name="_Toc430530532"/>
      <w:bookmarkStart w:id="1062" w:name="_Toc224103497"/>
      <w:bookmarkStart w:id="1063" w:name="_Toc277082645"/>
      <w:bookmarkStart w:id="1064" w:name="_Toc287620816"/>
      <w:bookmarkStart w:id="1065" w:name="_Toc287607869"/>
      <w:bookmarkStart w:id="1066" w:name="_Toc10087"/>
      <w:bookmarkStart w:id="1067" w:name="_Toc5982"/>
      <w:bookmarkStart w:id="1068" w:name="_Toc22498"/>
      <w:r>
        <w:rPr>
          <w:rFonts w:ascii="宋体" w:hAnsi="宋体"/>
          <w:b/>
          <w:bCs/>
          <w:snapToGrid w:val="0"/>
          <w:color w:val="auto"/>
          <w:kern w:val="0"/>
          <w:sz w:val="32"/>
          <w:szCs w:val="32"/>
        </w:rPr>
        <w:t>（三）</w:t>
      </w:r>
      <w:bookmarkEnd w:id="1061"/>
      <w:bookmarkEnd w:id="1062"/>
      <w:bookmarkEnd w:id="1063"/>
      <w:bookmarkEnd w:id="1064"/>
      <w:bookmarkEnd w:id="1065"/>
      <w:r>
        <w:rPr>
          <w:rFonts w:hint="eastAsia" w:ascii="宋体" w:hAnsi="宋体"/>
          <w:b/>
          <w:bCs/>
          <w:snapToGrid w:val="0"/>
          <w:color w:val="auto"/>
          <w:kern w:val="0"/>
          <w:sz w:val="30"/>
          <w:szCs w:val="30"/>
        </w:rPr>
        <w:t>法定代表人身份证明</w:t>
      </w:r>
      <w:bookmarkEnd w:id="1066"/>
      <w:bookmarkEnd w:id="1067"/>
      <w:bookmarkEnd w:id="1068"/>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r>
        <w:rPr>
          <w:rFonts w:ascii="宋体" w:hAnsi="宋体"/>
          <w:b/>
          <w:color w:val="auto"/>
          <w:kern w:val="0"/>
          <w:sz w:val="28"/>
          <w:szCs w:val="28"/>
        </w:rPr>
        <w:br w:type="page"/>
      </w:r>
      <w:bookmarkStart w:id="1069" w:name="_Toc24512"/>
      <w:bookmarkStart w:id="1070" w:name="_Toc7804"/>
      <w:bookmarkStart w:id="1071" w:name="_Toc29065"/>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1069"/>
      <w:bookmarkEnd w:id="1070"/>
      <w:bookmarkEnd w:id="1071"/>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2"/>
        <w:rPr>
          <w:rFonts w:ascii="宋体" w:hAnsi="宋体"/>
          <w:color w:val="auto"/>
          <w:kern w:val="0"/>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pStyle w:val="2"/>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eastAsia="zh-CN"/>
        </w:rPr>
      </w:pPr>
      <w:bookmarkStart w:id="1072" w:name="_Toc17150"/>
      <w:bookmarkStart w:id="1073" w:name="_Toc11039"/>
      <w:bookmarkStart w:id="1074" w:name="_Toc27471"/>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五</w:t>
      </w:r>
      <w:r>
        <w:rPr>
          <w:rFonts w:hint="eastAsia" w:ascii="宋体" w:hAnsi="宋体"/>
          <w:b/>
          <w:color w:val="auto"/>
          <w:kern w:val="0"/>
          <w:sz w:val="28"/>
          <w:szCs w:val="28"/>
          <w:lang w:eastAsia="zh-CN"/>
        </w:rPr>
        <w:t>）低价风险担保提交承诺书</w:t>
      </w:r>
      <w:bookmarkEnd w:id="1072"/>
      <w:bookmarkEnd w:id="1073"/>
      <w:bookmarkEnd w:id="1074"/>
    </w:p>
    <w:p>
      <w:pPr>
        <w:spacing w:line="360" w:lineRule="auto"/>
        <w:ind w:firstLine="420" w:firstLineChars="200"/>
        <w:jc w:val="center"/>
        <w:rPr>
          <w:rFonts w:hint="eastAsia" w:ascii="宋体" w:hAnsi="宋体"/>
          <w:color w:val="auto"/>
        </w:rPr>
      </w:pPr>
      <w:r>
        <w:rPr>
          <w:rFonts w:hint="eastAsia" w:ascii="宋体" w:hAnsi="宋体"/>
          <w:color w:val="auto"/>
        </w:rPr>
        <w:t>（投标报价低于招标项目最高限价的8</w:t>
      </w:r>
      <w:r>
        <w:rPr>
          <w:rFonts w:hint="eastAsia" w:ascii="宋体" w:hAnsi="宋体"/>
          <w:color w:val="auto"/>
          <w:lang w:val="en-US" w:eastAsia="zh-CN"/>
        </w:rPr>
        <w:t>0</w:t>
      </w:r>
      <w:r>
        <w:rPr>
          <w:rFonts w:hint="eastAsia" w:ascii="宋体" w:hAnsi="宋体"/>
          <w:color w:val="auto"/>
        </w:rPr>
        <w:t>%时采用）</w:t>
      </w:r>
    </w:p>
    <w:p>
      <w:pPr>
        <w:pStyle w:val="25"/>
        <w:rPr>
          <w:rFonts w:hint="eastAsia"/>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lang w:val="en-US" w:eastAsia="zh-CN"/>
        </w:rPr>
        <w:t xml:space="preserve">致：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（招标人名称）：</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 xml:space="preserve">我公司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（投标</w:t>
      </w:r>
      <w:r>
        <w:rPr>
          <w:rFonts w:hint="eastAsia" w:ascii="宋体" w:hAnsi="宋体"/>
          <w:color w:val="auto"/>
          <w:kern w:val="0"/>
          <w:szCs w:val="21"/>
          <w:lang w:val="en-US" w:eastAsia="zh-CN"/>
        </w:rPr>
        <w:t>单位</w:t>
      </w:r>
      <w:r>
        <w:rPr>
          <w:rFonts w:hint="eastAsia" w:ascii="宋体" w:hAnsi="宋体"/>
          <w:color w:val="auto"/>
          <w:kern w:val="0"/>
          <w:szCs w:val="21"/>
        </w:rPr>
        <w:t xml:space="preserve">名称）参加了你单位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（项目名称）的投标。我公司投标报价低于最高限价的8</w:t>
      </w:r>
      <w:r>
        <w:rPr>
          <w:rFonts w:hint="eastAsia" w:ascii="宋体" w:hAnsi="宋体"/>
          <w:color w:val="auto"/>
          <w:kern w:val="0"/>
          <w:szCs w:val="21"/>
          <w:lang w:val="en-US" w:eastAsia="zh-CN"/>
        </w:rPr>
        <w:t>0</w:t>
      </w:r>
      <w:r>
        <w:rPr>
          <w:rFonts w:hint="eastAsia" w:ascii="宋体" w:hAnsi="宋体"/>
          <w:color w:val="auto"/>
          <w:kern w:val="0"/>
          <w:szCs w:val="21"/>
        </w:rPr>
        <w:t>%，若获得中标资格，我公司承诺按照招标文件的规定递交低价风险担保。同时，我公司已落实低价风险担保的提交方案，承诺采用</w:t>
      </w:r>
      <w:r>
        <w:rPr>
          <w:rFonts w:hint="eastAsia"/>
          <w:color w:val="auto"/>
          <w:u w:val="none"/>
        </w:rPr>
        <w:t>转账支票或电汇形式</w:t>
      </w:r>
      <w:r>
        <w:rPr>
          <w:rFonts w:hint="eastAsia" w:ascii="宋体" w:hAnsi="宋体"/>
          <w:color w:val="auto"/>
          <w:kern w:val="0"/>
          <w:szCs w:val="21"/>
          <w:u w:val="none"/>
        </w:rPr>
        <w:t>提交</w:t>
      </w:r>
      <w:r>
        <w:rPr>
          <w:rFonts w:hint="eastAsia" w:ascii="宋体" w:hAnsi="宋体"/>
          <w:color w:val="auto"/>
          <w:kern w:val="0"/>
          <w:szCs w:val="21"/>
        </w:rPr>
        <w:t>低价风险担保，</w:t>
      </w:r>
      <w:r>
        <w:rPr>
          <w:rFonts w:hint="eastAsia" w:ascii="宋体" w:hAnsi="宋体"/>
          <w:color w:val="auto"/>
          <w:kern w:val="0"/>
          <w:szCs w:val="21"/>
          <w:lang w:val="en-US" w:eastAsia="zh-CN"/>
        </w:rPr>
        <w:t>并</w:t>
      </w:r>
      <w:r>
        <w:rPr>
          <w:rFonts w:hint="eastAsia" w:ascii="宋体" w:hAnsi="宋体"/>
          <w:color w:val="auto"/>
          <w:kern w:val="0"/>
          <w:szCs w:val="21"/>
        </w:rPr>
        <w:t>符合招标文件的要求。否则，我公司愿承担招标文件中约定的，因未按规定递交低价风险担保的相应责任。</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特此承诺。</w:t>
      </w: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jc w:val="center"/>
        <w:rPr>
          <w:rFonts w:hint="eastAsia" w:ascii="宋体" w:hAnsi="宋体"/>
          <w:color w:val="auto"/>
        </w:rPr>
      </w:pPr>
      <w:r>
        <w:rPr>
          <w:rFonts w:hint="eastAsia" w:ascii="宋体" w:hAnsi="宋体"/>
          <w:color w:val="auto"/>
        </w:rPr>
        <w:t>投标</w:t>
      </w:r>
      <w:r>
        <w:rPr>
          <w:rFonts w:hint="eastAsia" w:ascii="宋体" w:hAnsi="宋体"/>
          <w:color w:val="auto"/>
          <w:lang w:val="en-US" w:eastAsia="zh-CN"/>
        </w:rPr>
        <w:t>单位</w:t>
      </w:r>
      <w:r>
        <w:rPr>
          <w:rFonts w:hint="eastAsia" w:ascii="宋体" w:hAnsi="宋体"/>
          <w:color w:val="auto"/>
        </w:rPr>
        <w:t>：</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（盖单位</w:t>
      </w:r>
      <w:r>
        <w:rPr>
          <w:rFonts w:hint="eastAsia" w:ascii="宋体" w:hAnsi="宋体"/>
          <w:color w:val="auto"/>
          <w:lang w:val="en-US" w:eastAsia="zh-CN"/>
        </w:rPr>
        <w:t>公</w:t>
      </w:r>
      <w:r>
        <w:rPr>
          <w:rFonts w:hint="eastAsia" w:ascii="宋体" w:hAnsi="宋体"/>
          <w:color w:val="auto"/>
        </w:rPr>
        <w:t>章）</w:t>
      </w:r>
    </w:p>
    <w:p>
      <w:pPr>
        <w:spacing w:line="360" w:lineRule="auto"/>
        <w:ind w:firstLine="420" w:firstLineChars="200"/>
        <w:jc w:val="center"/>
        <w:rPr>
          <w:rFonts w:hint="eastAsia" w:ascii="宋体" w:hAnsi="宋体"/>
          <w:color w:val="auto"/>
        </w:rPr>
      </w:pPr>
      <w:r>
        <w:rPr>
          <w:rFonts w:hint="eastAsia" w:ascii="宋体" w:hAnsi="宋体"/>
          <w:color w:val="auto"/>
        </w:rPr>
        <w:t>法定代表人：</w:t>
      </w:r>
      <w:r>
        <w:rPr>
          <w:rFonts w:hint="eastAsia" w:ascii="宋体" w:hAnsi="宋体"/>
          <w:color w:val="auto"/>
          <w:u w:val="single"/>
          <w:lang w:val="en-US" w:eastAsia="zh-CN"/>
        </w:rPr>
        <w:t xml:space="preserve">                                               </w:t>
      </w:r>
      <w:r>
        <w:rPr>
          <w:rFonts w:hint="eastAsia" w:ascii="宋体" w:hAnsi="宋体"/>
          <w:color w:val="auto"/>
        </w:rPr>
        <w:t>（签名或盖章）</w:t>
      </w:r>
    </w:p>
    <w:p>
      <w:pPr>
        <w:spacing w:line="360" w:lineRule="auto"/>
        <w:ind w:firstLine="420" w:firstLineChars="200"/>
        <w:jc w:val="center"/>
        <w:rPr>
          <w:rFonts w:hint="eastAsia" w:ascii="宋体" w:hAnsi="宋体" w:eastAsia="宋体"/>
          <w:color w:val="auto"/>
          <w:lang w:val="en-US" w:eastAsia="zh-CN"/>
        </w:rPr>
      </w:pPr>
      <w:r>
        <w:rPr>
          <w:rFonts w:hint="eastAsia" w:ascii="宋体" w:hAnsi="宋体"/>
          <w:color w:val="auto"/>
          <w:lang w:val="en-US" w:eastAsia="zh-CN"/>
        </w:rPr>
        <w:t xml:space="preserve">                                             </w:t>
      </w:r>
      <w:r>
        <w:rPr>
          <w:rFonts w:hint="eastAsia" w:ascii="宋体" w:hAnsi="宋体"/>
          <w:color w:val="auto"/>
          <w:u w:val="single"/>
          <w:lang w:val="en-US" w:eastAsia="zh-CN"/>
        </w:rPr>
        <w:t xml:space="preserve">         </w:t>
      </w:r>
      <w:r>
        <w:rPr>
          <w:rFonts w:hint="eastAsia" w:ascii="宋体" w:hAnsi="宋体"/>
          <w:color w:val="auto"/>
        </w:rPr>
        <w:t>年</w:t>
      </w:r>
      <w:r>
        <w:rPr>
          <w:rFonts w:hint="eastAsia" w:ascii="宋体" w:hAnsi="宋体"/>
          <w:color w:val="auto"/>
          <w:u w:val="single"/>
          <w:lang w:val="en-US" w:eastAsia="zh-CN"/>
        </w:rPr>
        <w:t xml:space="preserve">     </w:t>
      </w:r>
      <w:r>
        <w:rPr>
          <w:rFonts w:hint="eastAsia" w:ascii="宋体" w:hAnsi="宋体"/>
          <w:color w:val="auto"/>
        </w:rPr>
        <w:t>月</w:t>
      </w:r>
      <w:r>
        <w:rPr>
          <w:rFonts w:hint="eastAsia" w:ascii="宋体" w:hAnsi="宋体"/>
          <w:color w:val="auto"/>
          <w:u w:val="single"/>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p>
    <w:p>
      <w:pPr>
        <w:rPr>
          <w:rFonts w:hint="eastAsia" w:ascii="宋体" w:hAnsi="宋体"/>
          <w:color w:val="auto"/>
        </w:rPr>
      </w:pPr>
      <w:r>
        <w:rPr>
          <w:rFonts w:hint="eastAsia" w:ascii="宋体" w:hAnsi="宋体"/>
          <w:color w:val="auto"/>
        </w:rPr>
        <w:br w:type="page"/>
      </w:r>
    </w:p>
    <w:p>
      <w:pPr>
        <w:pStyle w:val="5"/>
        <w:numPr>
          <w:ilvl w:val="0"/>
          <w:numId w:val="0"/>
        </w:numPr>
        <w:spacing w:line="360" w:lineRule="auto"/>
        <w:jc w:val="center"/>
        <w:rPr>
          <w:rFonts w:hint="default" w:ascii="宋体" w:hAnsi="宋体"/>
          <w:b w:val="0"/>
          <w:bCs w:val="0"/>
          <w:color w:val="auto"/>
          <w:sz w:val="44"/>
          <w:szCs w:val="44"/>
          <w:lang w:val="en-US"/>
        </w:rPr>
      </w:pPr>
      <w:bookmarkStart w:id="1075" w:name="_Toc20595"/>
      <w:bookmarkStart w:id="1076" w:name="_Toc31333"/>
      <w:bookmarkStart w:id="1077" w:name="_Toc19728"/>
      <w:bookmarkStart w:id="1078" w:name="_Toc12951"/>
      <w:bookmarkStart w:id="1079" w:name="_Toc835"/>
      <w:r>
        <w:rPr>
          <w:rFonts w:hint="eastAsia" w:ascii="宋体" w:hAnsi="宋体"/>
          <w:b w:val="0"/>
          <w:bCs w:val="0"/>
          <w:color w:val="auto"/>
          <w:sz w:val="44"/>
          <w:szCs w:val="44"/>
          <w:lang w:val="en-US" w:eastAsia="zh-CN"/>
        </w:rPr>
        <w:t>二、经济部分</w:t>
      </w:r>
      <w:bookmarkEnd w:id="1075"/>
      <w:bookmarkEnd w:id="1076"/>
      <w:bookmarkEnd w:id="1077"/>
      <w:bookmarkEnd w:id="1078"/>
      <w:bookmarkEnd w:id="1079"/>
    </w:p>
    <w:p>
      <w:pPr>
        <w:widowControl w:val="0"/>
        <w:numPr>
          <w:ilvl w:val="0"/>
          <w:numId w:val="0"/>
        </w:numPr>
        <w:jc w:val="both"/>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ind w:left="0" w:leftChars="0" w:firstLine="0" w:firstLineChars="0"/>
        <w:rPr>
          <w:color w:val="auto"/>
        </w:rPr>
      </w:pPr>
    </w:p>
    <w:p>
      <w:pPr>
        <w:rPr>
          <w:color w:val="auto"/>
        </w:rPr>
      </w:pPr>
    </w:p>
    <w:p>
      <w:pPr>
        <w:rPr>
          <w:color w:val="auto"/>
        </w:rPr>
      </w:pPr>
      <w:r>
        <w:rPr>
          <w:color w:val="auto"/>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lang w:val="en-US" w:eastAsia="zh-CN"/>
        </w:rPr>
        <w:t>经济</w:t>
      </w:r>
      <w:r>
        <w:rPr>
          <w:rFonts w:hint="eastAsia" w:ascii="宋体" w:hAnsi="宋体"/>
          <w:color w:val="auto"/>
          <w:kern w:val="0"/>
          <w:sz w:val="36"/>
          <w:szCs w:val="36"/>
        </w:rPr>
        <w:t>部分</w:t>
      </w: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outlineLvl w:val="9"/>
        <w:rPr>
          <w:rFonts w:ascii="宋体" w:hAnsi="宋体"/>
          <w:color w:val="auto"/>
          <w:kern w:val="0"/>
          <w:sz w:val="28"/>
          <w:szCs w:val="28"/>
        </w:rPr>
      </w:pPr>
      <w:bookmarkStart w:id="1080" w:name="_Toc17825"/>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bookmarkEnd w:id="1080"/>
    </w:p>
    <w:p>
      <w:pPr>
        <w:pStyle w:val="25"/>
        <w:ind w:firstLine="2770" w:firstLineChars="1000"/>
        <w:rPr>
          <w:color w:val="auto"/>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jc w:val="center"/>
        <w:outlineLvl w:val="3"/>
        <w:rPr>
          <w:rFonts w:hint="default" w:eastAsia="宋体"/>
          <w:color w:val="auto"/>
          <w:lang w:val="en-US" w:eastAsia="zh-CN"/>
        </w:rPr>
      </w:pPr>
      <w:bookmarkStart w:id="1081" w:name="_Toc10178"/>
      <w:bookmarkStart w:id="1082" w:name="_Toc3928"/>
      <w:bookmarkStart w:id="1083" w:name="_Toc26233"/>
      <w:r>
        <w:rPr>
          <w:rFonts w:hint="eastAsia" w:ascii="宋体" w:hAnsi="宋体"/>
          <w:b/>
          <w:bCs/>
          <w:snapToGrid w:val="0"/>
          <w:color w:val="auto"/>
          <w:kern w:val="0"/>
          <w:sz w:val="32"/>
          <w:szCs w:val="32"/>
        </w:rPr>
        <w:t>（一）</w:t>
      </w:r>
      <w:r>
        <w:rPr>
          <w:rFonts w:hint="eastAsia" w:ascii="宋体" w:hAnsi="宋体"/>
          <w:b/>
          <w:bCs/>
          <w:snapToGrid w:val="0"/>
          <w:color w:val="auto"/>
          <w:kern w:val="0"/>
          <w:sz w:val="32"/>
          <w:szCs w:val="32"/>
          <w:lang w:val="en-US" w:eastAsia="zh-CN"/>
        </w:rPr>
        <w:t>已标价工程量清单</w:t>
      </w:r>
      <w:bookmarkEnd w:id="1081"/>
      <w:bookmarkEnd w:id="1082"/>
      <w:bookmarkEnd w:id="1083"/>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5"/>
        <w:spacing w:line="360" w:lineRule="auto"/>
        <w:jc w:val="center"/>
        <w:rPr>
          <w:rFonts w:ascii="宋体" w:hAnsi="宋体"/>
          <w:b w:val="0"/>
          <w:bCs w:val="0"/>
          <w:color w:val="auto"/>
          <w:sz w:val="44"/>
          <w:szCs w:val="44"/>
        </w:rPr>
      </w:pPr>
      <w:bookmarkStart w:id="1084" w:name="_Toc287607882"/>
      <w:bookmarkStart w:id="1085" w:name="_Toc430530545"/>
      <w:bookmarkStart w:id="1086" w:name="_Toc224103510"/>
      <w:bookmarkStart w:id="1087" w:name="_Toc277082656"/>
      <w:bookmarkStart w:id="1088" w:name="_Toc287620829"/>
      <w:bookmarkStart w:id="1089" w:name="_Toc21064"/>
      <w:bookmarkStart w:id="1090" w:name="_Toc29461"/>
      <w:bookmarkStart w:id="1091" w:name="_Toc6799"/>
      <w:bookmarkStart w:id="1092" w:name="_Toc22090"/>
      <w:bookmarkStart w:id="1093" w:name="_Toc95830754"/>
      <w:bookmarkStart w:id="1094" w:name="_Toc27698"/>
      <w:r>
        <w:rPr>
          <w:rFonts w:hint="eastAsia" w:ascii="宋体" w:hAnsi="宋体"/>
          <w:b w:val="0"/>
          <w:bCs w:val="0"/>
          <w:color w:val="auto"/>
          <w:sz w:val="44"/>
          <w:szCs w:val="44"/>
        </w:rPr>
        <w:t>三、</w:t>
      </w:r>
      <w:bookmarkEnd w:id="1084"/>
      <w:bookmarkEnd w:id="1085"/>
      <w:bookmarkEnd w:id="1086"/>
      <w:bookmarkEnd w:id="1087"/>
      <w:bookmarkEnd w:id="1088"/>
      <w:r>
        <w:rPr>
          <w:rFonts w:hint="eastAsia" w:ascii="宋体" w:hAnsi="宋体"/>
          <w:b w:val="0"/>
          <w:bCs w:val="0"/>
          <w:color w:val="auto"/>
          <w:sz w:val="44"/>
          <w:szCs w:val="44"/>
        </w:rPr>
        <w:t>资格审查部分</w:t>
      </w:r>
      <w:bookmarkEnd w:id="1089"/>
      <w:bookmarkEnd w:id="1090"/>
      <w:bookmarkEnd w:id="1091"/>
      <w:bookmarkEnd w:id="1092"/>
      <w:bookmarkEnd w:id="1093"/>
      <w:bookmarkEnd w:id="1094"/>
    </w:p>
    <w:p>
      <w:pPr>
        <w:adjustRightInd w:val="0"/>
        <w:snapToGrid w:val="0"/>
        <w:spacing w:line="360" w:lineRule="auto"/>
        <w:rPr>
          <w:rFonts w:ascii="宋体" w:hAnsi="宋体"/>
          <w:color w:val="auto"/>
          <w:sz w:val="32"/>
          <w:szCs w:val="32"/>
        </w:rPr>
      </w:pPr>
    </w:p>
    <w:p>
      <w:pPr>
        <w:adjustRightInd w:val="0"/>
        <w:snapToGrid w:val="0"/>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r>
        <w:rPr>
          <w:rFonts w:ascii="宋体" w:hAnsi="宋体"/>
          <w:color w:val="auto"/>
          <w:sz w:val="32"/>
          <w:szCs w:val="32"/>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1095" w:name="_Toc8789"/>
      <w:r>
        <w:rPr>
          <w:rFonts w:hint="eastAsia" w:ascii="宋体" w:hAnsi="宋体"/>
          <w:color w:val="auto"/>
          <w:kern w:val="0"/>
          <w:sz w:val="36"/>
          <w:szCs w:val="36"/>
        </w:rPr>
        <w:t>资格审查部分</w:t>
      </w:r>
      <w:bookmarkEnd w:id="1095"/>
    </w:p>
    <w:p>
      <w:pPr>
        <w:autoSpaceDE w:val="0"/>
        <w:autoSpaceDN w:val="0"/>
        <w:adjustRightInd w:val="0"/>
        <w:snapToGrid w:val="0"/>
        <w:spacing w:line="360" w:lineRule="auto"/>
        <w:jc w:val="left"/>
        <w:rPr>
          <w:rFonts w:ascii="宋体" w:hAnsi="宋体" w:cs="MingLiU"/>
          <w:color w:val="auto"/>
          <w:kern w:val="0"/>
          <w:sz w:val="20"/>
          <w:szCs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jc w:val="center"/>
        <w:rPr>
          <w:rFonts w:hint="eastAsia" w:ascii="宋体" w:hAnsi="宋体"/>
          <w:color w:val="auto"/>
          <w:w w:val="99"/>
          <w:kern w:val="0"/>
          <w:sz w:val="28"/>
          <w:szCs w:val="28"/>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p>
    <w:p>
      <w:pPr>
        <w:pStyle w:val="25"/>
        <w:rPr>
          <w:rFonts w:hint="eastAsia" w:ascii="宋体" w:hAnsi="宋体"/>
          <w:color w:val="auto"/>
          <w:w w:val="99"/>
          <w:kern w:val="0"/>
          <w:sz w:val="28"/>
          <w:szCs w:val="28"/>
        </w:rPr>
      </w:pPr>
    </w:p>
    <w:p>
      <w:pPr>
        <w:rPr>
          <w:color w:val="auto"/>
        </w:rPr>
      </w:pPr>
    </w:p>
    <w:p>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pPr>
        <w:spacing w:line="360" w:lineRule="auto"/>
        <w:jc w:val="center"/>
        <w:rPr>
          <w:rFonts w:ascii="宋体" w:hAnsi="宋体"/>
          <w:b/>
          <w:color w:val="auto"/>
          <w:kern w:val="0"/>
          <w:sz w:val="32"/>
          <w:szCs w:val="32"/>
        </w:rPr>
      </w:pPr>
    </w:p>
    <w:p>
      <w:pPr>
        <w:numPr>
          <w:ilvl w:val="0"/>
          <w:numId w:val="5"/>
        </w:numPr>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rPr>
        <w:t>法定代表人身份证明</w:t>
      </w:r>
    </w:p>
    <w:p>
      <w:pPr>
        <w:numPr>
          <w:ilvl w:val="0"/>
          <w:numId w:val="5"/>
        </w:numPr>
        <w:spacing w:line="360" w:lineRule="auto"/>
        <w:ind w:firstLine="420" w:firstLineChars="200"/>
        <w:rPr>
          <w:rFonts w:ascii="宋体" w:hAnsi="宋体"/>
          <w:color w:val="auto"/>
          <w:szCs w:val="21"/>
        </w:rPr>
      </w:pPr>
      <w:r>
        <w:rPr>
          <w:rFonts w:hint="eastAsia" w:ascii="宋体" w:hAnsi="宋体"/>
          <w:snapToGrid w:val="0"/>
          <w:color w:val="auto"/>
          <w:kern w:val="0"/>
          <w:szCs w:val="21"/>
        </w:rPr>
        <w:t>授权委托书</w:t>
      </w:r>
    </w:p>
    <w:p>
      <w:pPr>
        <w:spacing w:line="360" w:lineRule="auto"/>
        <w:ind w:firstLine="420" w:firstLineChars="200"/>
        <w:rPr>
          <w:rFonts w:ascii="宋体" w:hAnsi="宋体"/>
          <w:color w:val="auto"/>
          <w:szCs w:val="21"/>
        </w:rPr>
      </w:pPr>
      <w:r>
        <w:rPr>
          <w:rFonts w:ascii="宋体" w:hAnsi="宋体"/>
          <w:color w:val="auto"/>
          <w:szCs w:val="21"/>
        </w:rPr>
        <w:t>（三）投标人基本情况表</w:t>
      </w:r>
    </w:p>
    <w:p>
      <w:pPr>
        <w:spacing w:line="360" w:lineRule="auto"/>
        <w:ind w:firstLine="420" w:firstLineChars="200"/>
        <w:rPr>
          <w:rFonts w:hint="eastAsia" w:ascii="宋体" w:hAnsi="宋体"/>
          <w:color w:val="auto"/>
          <w:szCs w:val="21"/>
          <w:lang w:val="en-US" w:eastAsia="zh-CN"/>
        </w:rPr>
      </w:pPr>
      <w:r>
        <w:rPr>
          <w:rFonts w:ascii="宋体" w:hAnsi="宋体"/>
          <w:color w:val="auto"/>
          <w:szCs w:val="21"/>
        </w:rPr>
        <w:t>（四）</w:t>
      </w:r>
      <w:r>
        <w:rPr>
          <w:rFonts w:hint="eastAsia" w:ascii="宋体" w:hAnsi="宋体"/>
          <w:color w:val="auto"/>
          <w:szCs w:val="21"/>
          <w:lang w:val="en-US" w:eastAsia="zh-CN"/>
        </w:rPr>
        <w:t>营业执照、资质证书、安全生产许可证</w:t>
      </w:r>
    </w:p>
    <w:p>
      <w:pPr>
        <w:spacing w:line="360" w:lineRule="auto"/>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五</w:t>
      </w:r>
      <w:r>
        <w:rPr>
          <w:rFonts w:ascii="宋体" w:hAnsi="宋体"/>
          <w:color w:val="auto"/>
          <w:szCs w:val="21"/>
        </w:rPr>
        <w:t>）其他资料</w:t>
      </w:r>
    </w:p>
    <w:p>
      <w:pPr>
        <w:pStyle w:val="2"/>
        <w:rPr>
          <w:rFonts w:ascii="宋体" w:hAnsi="宋体"/>
          <w:color w:val="auto"/>
        </w:rPr>
      </w:pPr>
    </w:p>
    <w:p>
      <w:pPr>
        <w:spacing w:line="360" w:lineRule="auto"/>
        <w:jc w:val="center"/>
        <w:rPr>
          <w:rFonts w:ascii="宋体" w:hAnsi="宋体"/>
          <w:b/>
          <w:color w:val="auto"/>
          <w:kern w:val="0"/>
          <w:sz w:val="32"/>
          <w:szCs w:val="32"/>
        </w:rPr>
      </w:pPr>
    </w:p>
    <w:p>
      <w:pPr>
        <w:spacing w:line="360" w:lineRule="auto"/>
        <w:jc w:val="center"/>
        <w:rPr>
          <w:rFonts w:ascii="宋体" w:hAnsi="宋体"/>
          <w:b/>
          <w:color w:val="auto"/>
          <w:kern w:val="0"/>
          <w:sz w:val="32"/>
          <w:szCs w:val="32"/>
        </w:rPr>
      </w:pPr>
    </w:p>
    <w:p>
      <w:pPr>
        <w:spacing w:line="480" w:lineRule="auto"/>
        <w:jc w:val="center"/>
        <w:outlineLvl w:val="3"/>
        <w:rPr>
          <w:rFonts w:ascii="宋体" w:hAnsi="宋体"/>
          <w:color w:val="auto"/>
          <w:sz w:val="28"/>
        </w:rPr>
      </w:pPr>
      <w:r>
        <w:rPr>
          <w:rFonts w:ascii="宋体" w:hAnsi="宋体"/>
          <w:color w:val="auto"/>
        </w:rPr>
        <w:br w:type="page"/>
      </w:r>
      <w:bookmarkStart w:id="1096" w:name="_Toc27075"/>
      <w:bookmarkStart w:id="1097" w:name="_Toc18382"/>
      <w:bookmarkStart w:id="1098" w:name="_Toc11532"/>
      <w:bookmarkStart w:id="1099" w:name="_Toc9868"/>
      <w:bookmarkStart w:id="1100" w:name="_Toc27913"/>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一</w:t>
      </w:r>
      <w:r>
        <w:rPr>
          <w:rFonts w:ascii="宋体" w:hAnsi="宋体"/>
          <w:b/>
          <w:bCs/>
          <w:snapToGrid w:val="0"/>
          <w:color w:val="auto"/>
          <w:kern w:val="0"/>
          <w:sz w:val="32"/>
          <w:szCs w:val="32"/>
        </w:rPr>
        <w:t>）</w:t>
      </w:r>
      <w:r>
        <w:rPr>
          <w:rFonts w:hint="eastAsia" w:ascii="宋体" w:hAnsi="宋体"/>
          <w:b/>
          <w:bCs/>
          <w:snapToGrid w:val="0"/>
          <w:color w:val="auto"/>
          <w:kern w:val="0"/>
          <w:sz w:val="30"/>
          <w:szCs w:val="30"/>
        </w:rPr>
        <w:t>法定代表人身份证明</w:t>
      </w:r>
      <w:bookmarkEnd w:id="1096"/>
      <w:bookmarkEnd w:id="1097"/>
      <w:bookmarkEnd w:id="1098"/>
      <w:bookmarkEnd w:id="1099"/>
      <w:bookmarkEnd w:id="1100"/>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bookmarkStart w:id="1101" w:name="_Toc29989"/>
      <w:bookmarkStart w:id="1102" w:name="_Toc9768"/>
      <w:bookmarkStart w:id="1103" w:name="_Toc24657"/>
      <w:bookmarkStart w:id="1104" w:name="_Toc15432"/>
      <w:bookmarkStart w:id="1105" w:name="_Toc24888"/>
      <w:bookmarkStart w:id="1106" w:name="_Toc277082659"/>
      <w:bookmarkStart w:id="1107" w:name="_Toc287607887"/>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二</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1101"/>
      <w:bookmarkEnd w:id="1102"/>
      <w:bookmarkEnd w:id="1103"/>
      <w:bookmarkEnd w:id="1104"/>
      <w:bookmarkEnd w:id="1105"/>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2"/>
        <w:rPr>
          <w:rFonts w:ascii="宋体" w:hAnsi="宋体"/>
          <w:color w:val="auto"/>
          <w:kern w:val="0"/>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pStyle w:val="2"/>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bookmarkEnd w:id="1106"/>
    <w:bookmarkEnd w:id="1107"/>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val="en-US" w:eastAsia="zh-CN"/>
        </w:rPr>
      </w:pPr>
      <w:bookmarkStart w:id="1108" w:name="_Toc18842"/>
      <w:bookmarkStart w:id="1109" w:name="_Toc24982"/>
      <w:bookmarkStart w:id="1110" w:name="_Toc2144"/>
      <w:bookmarkStart w:id="1111" w:name="_Toc25693"/>
      <w:bookmarkStart w:id="1112" w:name="_Toc15903"/>
      <w:bookmarkStart w:id="1113" w:name="_Toc95830762"/>
      <w:r>
        <w:rPr>
          <w:rFonts w:hint="eastAsia" w:ascii="宋体" w:hAnsi="宋体"/>
          <w:b/>
          <w:color w:val="auto"/>
          <w:kern w:val="0"/>
          <w:sz w:val="28"/>
          <w:szCs w:val="28"/>
          <w:lang w:val="en-US" w:eastAsia="zh-CN"/>
        </w:rPr>
        <w:t>（三</w:t>
      </w:r>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营业执照、资质证书、安全生产许可证</w:t>
      </w:r>
      <w:bookmarkEnd w:id="1108"/>
      <w:bookmarkEnd w:id="1109"/>
      <w:bookmarkEnd w:id="1110"/>
      <w:bookmarkEnd w:id="1111"/>
      <w:bookmarkEnd w:id="1112"/>
    </w:p>
    <w:p>
      <w:pPr>
        <w:spacing w:line="600" w:lineRule="exact"/>
        <w:ind w:firstLine="560"/>
        <w:contextualSpacing/>
        <w:jc w:val="center"/>
        <w:rPr>
          <w:rFonts w:hint="default" w:ascii="Times New Roman" w:hAnsi="Times New Roman" w:cs="Times New Roman"/>
          <w:color w:val="auto"/>
          <w:sz w:val="48"/>
          <w:szCs w:val="48"/>
        </w:rPr>
      </w:pPr>
      <w:r>
        <w:rPr>
          <w:rFonts w:hint="default" w:ascii="Times New Roman" w:hAnsi="Times New Roman" w:cs="Times New Roman"/>
          <w:color w:val="auto"/>
          <w:sz w:val="22"/>
          <w:szCs w:val="32"/>
        </w:rPr>
        <w:t>（加盖公司</w:t>
      </w:r>
      <w:r>
        <w:rPr>
          <w:rFonts w:hint="eastAsia" w:cs="Times New Roman"/>
          <w:color w:val="auto"/>
          <w:sz w:val="22"/>
          <w:szCs w:val="32"/>
          <w:lang w:val="en-US" w:eastAsia="zh-CN"/>
        </w:rPr>
        <w:t>公</w:t>
      </w:r>
      <w:r>
        <w:rPr>
          <w:rFonts w:hint="default" w:ascii="Times New Roman" w:hAnsi="Times New Roman" w:cs="Times New Roman"/>
          <w:color w:val="auto"/>
          <w:sz w:val="22"/>
          <w:szCs w:val="32"/>
        </w:rPr>
        <w:t>章）</w:t>
      </w:r>
    </w:p>
    <w:p>
      <w:pPr>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tabs>
          <w:tab w:val="left" w:pos="1680"/>
          <w:tab w:val="left" w:pos="4215"/>
          <w:tab w:val="left" w:pos="4305"/>
          <w:tab w:val="left" w:pos="8000"/>
        </w:tabs>
        <w:autoSpaceDE w:val="0"/>
        <w:autoSpaceDN w:val="0"/>
        <w:adjustRightInd w:val="0"/>
        <w:snapToGrid w:val="0"/>
        <w:spacing w:line="360" w:lineRule="auto"/>
        <w:ind w:firstLine="562" w:firstLineChars="200"/>
        <w:jc w:val="center"/>
        <w:outlineLvl w:val="3"/>
        <w:rPr>
          <w:rFonts w:hint="eastAsia" w:ascii="宋体" w:hAnsi="宋体"/>
          <w:b/>
          <w:color w:val="auto"/>
          <w:kern w:val="0"/>
          <w:sz w:val="28"/>
          <w:szCs w:val="28"/>
          <w:lang w:eastAsia="zh-CN"/>
        </w:rPr>
      </w:pPr>
      <w:bookmarkStart w:id="1114" w:name="_Toc30504"/>
      <w:bookmarkStart w:id="1115" w:name="_Toc813"/>
      <w:bookmarkStart w:id="1116" w:name="_Toc25646"/>
      <w:bookmarkStart w:id="1117" w:name="_Toc27950"/>
      <w:bookmarkStart w:id="1118" w:name="_Toc7190"/>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）其他资料</w:t>
      </w:r>
      <w:bookmarkEnd w:id="1113"/>
      <w:bookmarkEnd w:id="1114"/>
      <w:bookmarkEnd w:id="1115"/>
      <w:bookmarkEnd w:id="1116"/>
      <w:bookmarkEnd w:id="1117"/>
      <w:bookmarkEnd w:id="1118"/>
    </w:p>
    <w:bookmarkEnd w:id="769"/>
    <w:bookmarkEnd w:id="770"/>
    <w:bookmarkEnd w:id="771"/>
    <w:p>
      <w:pPr>
        <w:spacing w:line="360" w:lineRule="auto"/>
        <w:ind w:firstLine="360" w:firstLineChars="200"/>
        <w:rPr>
          <w:rFonts w:ascii="宋体" w:hAnsi="宋体"/>
          <w:color w:val="auto"/>
          <w:sz w:val="18"/>
          <w:szCs w:val="18"/>
        </w:rPr>
      </w:pPr>
      <w:r>
        <w:rPr>
          <w:rFonts w:hint="eastAsia" w:ascii="宋体" w:hAnsi="宋体"/>
          <w:color w:val="auto"/>
          <w:sz w:val="18"/>
          <w:szCs w:val="18"/>
        </w:rPr>
        <w:t>1. 投标保证金</w:t>
      </w:r>
    </w:p>
    <w:p>
      <w:pPr>
        <w:spacing w:line="360" w:lineRule="auto"/>
        <w:ind w:firstLine="360" w:firstLineChars="200"/>
        <w:rPr>
          <w:rFonts w:ascii="宋体" w:hAnsi="宋体"/>
          <w:color w:val="auto"/>
          <w:sz w:val="18"/>
          <w:szCs w:val="18"/>
        </w:rPr>
      </w:pPr>
      <w:r>
        <w:rPr>
          <w:rFonts w:ascii="宋体" w:hAnsi="宋体"/>
          <w:color w:val="auto"/>
          <w:sz w:val="18"/>
          <w:szCs w:val="18"/>
        </w:rPr>
        <w:t>[提示：以转账支票或电汇形式交纳投标保证金的提供以下资料]</w:t>
      </w:r>
    </w:p>
    <w:p>
      <w:pPr>
        <w:spacing w:line="360" w:lineRule="auto"/>
        <w:ind w:firstLine="360" w:firstLineChars="200"/>
        <w:rPr>
          <w:rFonts w:ascii="宋体" w:hAnsi="宋体"/>
          <w:color w:val="auto"/>
          <w:sz w:val="18"/>
          <w:szCs w:val="18"/>
        </w:rPr>
      </w:pPr>
      <w:r>
        <w:rPr>
          <w:rFonts w:hint="eastAsia" w:ascii="宋体" w:hAnsi="宋体"/>
          <w:color w:val="auto"/>
          <w:sz w:val="18"/>
          <w:szCs w:val="18"/>
        </w:rPr>
        <w:t>（1）企业基本账户开户证明文件复印件；</w:t>
      </w:r>
    </w:p>
    <w:p>
      <w:pPr>
        <w:spacing w:line="360" w:lineRule="auto"/>
        <w:ind w:firstLine="360" w:firstLineChars="200"/>
        <w:rPr>
          <w:rFonts w:ascii="宋体" w:hAnsi="宋体"/>
          <w:color w:val="auto"/>
          <w:sz w:val="18"/>
          <w:szCs w:val="18"/>
        </w:rPr>
      </w:pPr>
      <w:r>
        <w:rPr>
          <w:rFonts w:hint="eastAsia" w:ascii="宋体" w:hAnsi="宋体"/>
          <w:color w:val="auto"/>
          <w:sz w:val="18"/>
          <w:szCs w:val="18"/>
        </w:rPr>
        <w:t xml:space="preserve">2. </w:t>
      </w:r>
    </w:p>
    <w:p>
      <w:pPr>
        <w:spacing w:line="360" w:lineRule="auto"/>
        <w:ind w:firstLine="360" w:firstLineChars="200"/>
        <w:rPr>
          <w:rFonts w:ascii="宋体" w:hAnsi="宋体"/>
          <w:color w:val="auto"/>
          <w:sz w:val="18"/>
          <w:szCs w:val="18"/>
        </w:rPr>
      </w:pPr>
      <w:r>
        <w:rPr>
          <w:rFonts w:ascii="宋体" w:hAnsi="宋体"/>
          <w:color w:val="auto"/>
          <w:sz w:val="18"/>
          <w:szCs w:val="18"/>
        </w:rPr>
        <w:t>……</w:t>
      </w:r>
    </w:p>
    <w:p>
      <w:pPr>
        <w:spacing w:line="480" w:lineRule="auto"/>
        <w:rPr>
          <w:rFonts w:ascii="宋体" w:hAnsi="宋体"/>
          <w:bCs/>
          <w:color w:val="auto"/>
          <w:szCs w:val="21"/>
        </w:rPr>
      </w:pPr>
    </w:p>
    <w:p>
      <w:pPr>
        <w:rPr>
          <w:color w:val="auto"/>
        </w:rPr>
      </w:pPr>
    </w:p>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A4244"/>
    <w:multiLevelType w:val="singleLevel"/>
    <w:tmpl w:val="BE8A4244"/>
    <w:lvl w:ilvl="0" w:tentative="0">
      <w:start w:val="4"/>
      <w:numFmt w:val="chineseCounting"/>
      <w:suff w:val="space"/>
      <w:lvlText w:val="第%1章"/>
      <w:lvlJc w:val="left"/>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22B9489"/>
    <w:multiLevelType w:val="singleLevel"/>
    <w:tmpl w:val="322B9489"/>
    <w:lvl w:ilvl="0" w:tentative="0">
      <w:start w:val="1"/>
      <w:numFmt w:val="decimal"/>
      <w:lvlText w:val="%1."/>
      <w:lvlJc w:val="left"/>
      <w:pPr>
        <w:tabs>
          <w:tab w:val="left" w:pos="312"/>
        </w:tabs>
      </w:pPr>
    </w:lvl>
  </w:abstractNum>
  <w:abstractNum w:abstractNumId="3">
    <w:nsid w:val="55104DDD"/>
    <w:multiLevelType w:val="singleLevel"/>
    <w:tmpl w:val="55104DDD"/>
    <w:lvl w:ilvl="0" w:tentative="0">
      <w:start w:val="1"/>
      <w:numFmt w:val="decimal"/>
      <w:suff w:val="space"/>
      <w:lvlText w:val="%1."/>
      <w:lvlJc w:val="left"/>
    </w:lvl>
  </w:abstractNum>
  <w:abstractNum w:abstractNumId="4">
    <w:nsid w:val="790A20CD"/>
    <w:multiLevelType w:val="singleLevel"/>
    <w:tmpl w:val="790A20CD"/>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ZjNkODE0ZTFkNDg4Y2IzZDMwYTQ0NjAwYjAyMGYifQ=="/>
  </w:docVars>
  <w:rsids>
    <w:rsidRoot w:val="6BB86D67"/>
    <w:rsid w:val="0498035F"/>
    <w:rsid w:val="04BF2B75"/>
    <w:rsid w:val="053F62E1"/>
    <w:rsid w:val="054D3965"/>
    <w:rsid w:val="055834C6"/>
    <w:rsid w:val="09B913F9"/>
    <w:rsid w:val="0A171DD2"/>
    <w:rsid w:val="0CA2767C"/>
    <w:rsid w:val="0F7E35A1"/>
    <w:rsid w:val="10D8109E"/>
    <w:rsid w:val="11CD33C1"/>
    <w:rsid w:val="12D040F4"/>
    <w:rsid w:val="16140D8E"/>
    <w:rsid w:val="16E53BAD"/>
    <w:rsid w:val="173E55DF"/>
    <w:rsid w:val="179A26A7"/>
    <w:rsid w:val="18204F1C"/>
    <w:rsid w:val="194F66F9"/>
    <w:rsid w:val="19B610DC"/>
    <w:rsid w:val="1A440EA4"/>
    <w:rsid w:val="1A5F2742"/>
    <w:rsid w:val="1DD862E4"/>
    <w:rsid w:val="1DFE1377"/>
    <w:rsid w:val="1E455A57"/>
    <w:rsid w:val="1E9B4F43"/>
    <w:rsid w:val="2276603A"/>
    <w:rsid w:val="227E15A6"/>
    <w:rsid w:val="24857C53"/>
    <w:rsid w:val="26A12F94"/>
    <w:rsid w:val="28BF06F7"/>
    <w:rsid w:val="2981449C"/>
    <w:rsid w:val="298760C9"/>
    <w:rsid w:val="2B151B9F"/>
    <w:rsid w:val="2C364150"/>
    <w:rsid w:val="2C7D47F7"/>
    <w:rsid w:val="2D5939E9"/>
    <w:rsid w:val="35CB4D09"/>
    <w:rsid w:val="37AF6638"/>
    <w:rsid w:val="38A622CC"/>
    <w:rsid w:val="3BAD5CD6"/>
    <w:rsid w:val="3C475105"/>
    <w:rsid w:val="3C56237A"/>
    <w:rsid w:val="3E1168A9"/>
    <w:rsid w:val="3E7E719A"/>
    <w:rsid w:val="3F4728FC"/>
    <w:rsid w:val="3FEA329C"/>
    <w:rsid w:val="40880967"/>
    <w:rsid w:val="40A8313F"/>
    <w:rsid w:val="412E43C1"/>
    <w:rsid w:val="42F3554D"/>
    <w:rsid w:val="431068F0"/>
    <w:rsid w:val="48127B33"/>
    <w:rsid w:val="4A706668"/>
    <w:rsid w:val="4A907C47"/>
    <w:rsid w:val="4CD02259"/>
    <w:rsid w:val="4D120D0B"/>
    <w:rsid w:val="4E697618"/>
    <w:rsid w:val="4EFB47E4"/>
    <w:rsid w:val="4F8F5366"/>
    <w:rsid w:val="50CA12F9"/>
    <w:rsid w:val="524E2C25"/>
    <w:rsid w:val="54685BD9"/>
    <w:rsid w:val="55CB3EF8"/>
    <w:rsid w:val="55EC5382"/>
    <w:rsid w:val="561050B8"/>
    <w:rsid w:val="58DE6F32"/>
    <w:rsid w:val="5A80680E"/>
    <w:rsid w:val="5C2B0582"/>
    <w:rsid w:val="5E207B5B"/>
    <w:rsid w:val="5FE3690A"/>
    <w:rsid w:val="619467EA"/>
    <w:rsid w:val="63995E69"/>
    <w:rsid w:val="6601183C"/>
    <w:rsid w:val="667B3BFE"/>
    <w:rsid w:val="66D53F98"/>
    <w:rsid w:val="68D32CB0"/>
    <w:rsid w:val="69622A18"/>
    <w:rsid w:val="6A232D0B"/>
    <w:rsid w:val="6BB86D67"/>
    <w:rsid w:val="6BFB0C3B"/>
    <w:rsid w:val="6D475948"/>
    <w:rsid w:val="6E8C7D5B"/>
    <w:rsid w:val="6EDA6006"/>
    <w:rsid w:val="6FA66386"/>
    <w:rsid w:val="6FB9134C"/>
    <w:rsid w:val="704E2055"/>
    <w:rsid w:val="70F51841"/>
    <w:rsid w:val="718A0DFA"/>
    <w:rsid w:val="721201A0"/>
    <w:rsid w:val="73A130AE"/>
    <w:rsid w:val="751653F3"/>
    <w:rsid w:val="754A1E63"/>
    <w:rsid w:val="75AE12DC"/>
    <w:rsid w:val="77103334"/>
    <w:rsid w:val="78287E44"/>
    <w:rsid w:val="7D4B6C84"/>
    <w:rsid w:val="7E67411B"/>
    <w:rsid w:val="7E814629"/>
    <w:rsid w:val="7F227489"/>
    <w:rsid w:val="7F5E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Indent"/>
    <w:basedOn w:val="1"/>
    <w:qFormat/>
    <w:uiPriority w:val="0"/>
    <w:pPr>
      <w:spacing w:after="120" w:afterLines="0"/>
      <w:ind w:left="420" w:leftChars="200"/>
    </w:pPr>
    <w:rPr>
      <w:kern w:val="0"/>
      <w:szCs w:val="20"/>
    </w:rPr>
  </w:style>
  <w:style w:type="paragraph" w:styleId="10">
    <w:name w:val="toc 3"/>
    <w:basedOn w:val="1"/>
    <w:next w:val="1"/>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4">
    <w:name w:val="toc 4"/>
    <w:basedOn w:val="1"/>
    <w:next w:val="1"/>
    <w:qFormat/>
    <w:uiPriority w:val="0"/>
    <w:pPr>
      <w:ind w:left="1260" w:leftChars="600"/>
    </w:pPr>
  </w:style>
  <w:style w:type="paragraph" w:styleId="15">
    <w:name w:val="Subtitle"/>
    <w:basedOn w:val="1"/>
    <w:qFormat/>
    <w:uiPriority w:val="0"/>
    <w:pPr>
      <w:widowControl/>
      <w:jc w:val="center"/>
    </w:pPr>
    <w:rPr>
      <w:kern w:val="0"/>
      <w:sz w:val="20"/>
      <w:u w:val="single"/>
      <w:lang w:eastAsia="en-US"/>
    </w:rPr>
  </w:style>
  <w:style w:type="paragraph" w:styleId="16">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7">
    <w:name w:val="Title"/>
    <w:basedOn w:val="1"/>
    <w:next w:val="1"/>
    <w:qFormat/>
    <w:uiPriority w:val="0"/>
    <w:pPr>
      <w:spacing w:before="120" w:after="120"/>
      <w:ind w:firstLine="0" w:firstLineChars="0"/>
      <w:jc w:val="center"/>
      <w:outlineLvl w:val="0"/>
    </w:pPr>
    <w:rPr>
      <w:rFonts w:eastAsia="黑体"/>
      <w:bCs/>
      <w:sz w:val="36"/>
      <w:szCs w:val="32"/>
    </w:rPr>
  </w:style>
  <w:style w:type="paragraph" w:styleId="18">
    <w:name w:val="Body Text First Indent 2"/>
    <w:basedOn w:val="9"/>
    <w:qFormat/>
    <w:uiPriority w:val="0"/>
    <w:pPr>
      <w:ind w:firstLine="420" w:firstLineChars="200"/>
    </w:pPr>
    <w:rPr>
      <w:rFonts w:ascii="黑体" w:hAnsi="宋体"/>
      <w:color w:val="000000"/>
      <w:kern w:val="2"/>
      <w:sz w:val="24"/>
      <w:lang w:val="en-US" w:eastAsia="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paragraph" w:customStyle="1" w:styleId="25">
    <w:name w:val="BodyText1I2"/>
    <w:basedOn w:val="26"/>
    <w:next w:val="1"/>
    <w:qFormat/>
    <w:uiPriority w:val="0"/>
    <w:pPr>
      <w:spacing w:after="120" w:line="240" w:lineRule="auto"/>
      <w:ind w:left="200" w:leftChars="200" w:firstLine="0" w:firstLineChars="0"/>
      <w:textAlignment w:val="baseline"/>
    </w:pPr>
    <w:rPr>
      <w:sz w:val="21"/>
      <w:szCs w:val="22"/>
    </w:rPr>
  </w:style>
  <w:style w:type="paragraph" w:customStyle="1" w:styleId="26">
    <w:name w:val="BodyText"/>
    <w:basedOn w:val="1"/>
    <w:qFormat/>
    <w:uiPriority w:val="0"/>
    <w:pPr>
      <w:spacing w:after="120"/>
      <w:textAlignment w:val="baseline"/>
    </w:pPr>
  </w:style>
  <w:style w:type="paragraph" w:customStyle="1" w:styleId="2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a-34"/>
    <w:basedOn w:val="1"/>
    <w:qFormat/>
    <w:uiPriority w:val="0"/>
    <w:pPr>
      <w:widowControl/>
      <w:spacing w:line="360" w:lineRule="atLeast"/>
      <w:ind w:firstLine="420"/>
      <w:jc w:val="left"/>
    </w:pPr>
    <w:rPr>
      <w:rFonts w:ascii="宋体" w:hAnsi="宋体" w:cs="宋体"/>
      <w:kern w:val="0"/>
      <w:sz w:val="24"/>
    </w:rPr>
  </w:style>
  <w:style w:type="paragraph" w:customStyle="1" w:styleId="2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0">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36530</Words>
  <Characters>38547</Characters>
  <Lines>0</Lines>
  <Paragraphs>0</Paragraphs>
  <TotalTime>26</TotalTime>
  <ScaleCrop>false</ScaleCrop>
  <LinksUpToDate>false</LinksUpToDate>
  <CharactersWithSpaces>42275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TANG</cp:lastModifiedBy>
  <cp:lastPrinted>2022-08-01T08:55:00Z</cp:lastPrinted>
  <dcterms:modified xsi:type="dcterms:W3CDTF">2022-08-02T02:42:55Z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B0B0B31D827A46C6A36C9850CC93DD47</vt:lpwstr>
  </property>
</Properties>
</file>